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3231"/>
        <w:gridCol w:w="425"/>
        <w:gridCol w:w="425"/>
        <w:gridCol w:w="426"/>
        <w:gridCol w:w="2268"/>
        <w:gridCol w:w="1701"/>
        <w:gridCol w:w="4876"/>
        <w:gridCol w:w="737"/>
        <w:gridCol w:w="654"/>
      </w:tblGrid>
      <w:tr w:rsidR="00EE46C6" w:rsidRPr="00CF434F" w14:paraId="0925670C" w14:textId="77777777" w:rsidTr="00411E0A">
        <w:trPr>
          <w:trHeight w:val="288"/>
        </w:trPr>
        <w:tc>
          <w:tcPr>
            <w:tcW w:w="15593" w:type="dxa"/>
            <w:gridSpan w:val="10"/>
            <w:shd w:val="clear" w:color="auto" w:fill="80340D" w:themeFill="accent2" w:themeFillShade="80"/>
            <w:vAlign w:val="center"/>
          </w:tcPr>
          <w:p w14:paraId="77FEE85E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Premiers points de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collecte</w:t>
            </w:r>
            <w:proofErr w:type="spellEnd"/>
          </w:p>
        </w:tc>
      </w:tr>
      <w:tr w:rsidR="00EE46C6" w:rsidRPr="00CF434F" w14:paraId="39E4EEBA" w14:textId="77777777" w:rsidTr="00411E0A">
        <w:trPr>
          <w:trHeight w:val="288"/>
        </w:trPr>
        <w:tc>
          <w:tcPr>
            <w:tcW w:w="15593" w:type="dxa"/>
            <w:gridSpan w:val="10"/>
            <w:shd w:val="clear" w:color="auto" w:fill="BF4E14" w:themeFill="accent2" w:themeFillShade="BF"/>
            <w:vAlign w:val="center"/>
          </w:tcPr>
          <w:p w14:paraId="7AEEE570" w14:textId="00013C6D" w:rsidR="00EE46C6" w:rsidRPr="00CF434F" w:rsidRDefault="00EE46C6" w:rsidP="00E679E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  <w:lang w:val="fr-FR" w:eastAsia="en-US"/>
              </w:rPr>
            </w:pPr>
            <w:bookmarkStart w:id="0" w:name="_Hlk62029555"/>
            <w:r w:rsidRPr="00CF434F">
              <w:rPr>
                <w:sz w:val="18"/>
                <w:szCs w:val="18"/>
                <w:lang w:val="fr-FR" w:eastAsia="en-US"/>
              </w:rPr>
              <w:br w:type="page"/>
            </w:r>
            <w:proofErr w:type="spellStart"/>
            <w:r w:rsidR="00411E0A"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Principe</w:t>
            </w:r>
            <w:proofErr w:type="spellEnd"/>
            <w:r w:rsidR="00411E0A"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0: </w:t>
            </w:r>
            <w:proofErr w:type="spellStart"/>
            <w:r w:rsidR="00411E0A"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ystème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gestion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et de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surveillance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interne</w:t>
            </w:r>
          </w:p>
        </w:tc>
      </w:tr>
      <w:bookmarkEnd w:id="0"/>
      <w:tr w:rsidR="00EE46C6" w:rsidRPr="00CF434F" w14:paraId="0D4032ED" w14:textId="77777777" w:rsidTr="00411E0A">
        <w:trPr>
          <w:trHeight w:val="348"/>
        </w:trPr>
        <w:tc>
          <w:tcPr>
            <w:tcW w:w="15593" w:type="dxa"/>
            <w:gridSpan w:val="10"/>
            <w:shd w:val="clear" w:color="auto" w:fill="F1A983" w:themeFill="accent2" w:themeFillTint="99"/>
            <w:vAlign w:val="center"/>
          </w:tcPr>
          <w:p w14:paraId="1EA724EC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  <w:t>Critère 0.1 – Unité de certification concernée par le champ d’application</w:t>
            </w:r>
          </w:p>
        </w:tc>
      </w:tr>
      <w:tr w:rsidR="00EE46C6" w:rsidRPr="00CF434F" w14:paraId="62142137" w14:textId="77777777" w:rsidTr="00E679E1">
        <w:trPr>
          <w:cantSplit/>
        </w:trPr>
        <w:tc>
          <w:tcPr>
            <w:tcW w:w="850" w:type="dxa"/>
          </w:tcPr>
          <w:p w14:paraId="72EE629F" w14:textId="77777777" w:rsidR="00EE46C6" w:rsidRPr="00CF434F" w:rsidRDefault="00EE46C6" w:rsidP="00E679E1">
            <w:pPr>
              <w:spacing w:before="60" w:after="6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CF434F">
              <w:rPr>
                <w:rFonts w:cstheme="minorHAnsi"/>
                <w:sz w:val="18"/>
                <w:szCs w:val="18"/>
                <w:lang w:val="en-GB"/>
              </w:rPr>
              <w:t>Xtra</w:t>
            </w:r>
            <w:proofErr w:type="spellEnd"/>
            <w:r w:rsidRPr="00CF434F">
              <w:rPr>
                <w:rFonts w:cstheme="minorHAnsi"/>
                <w:sz w:val="18"/>
                <w:szCs w:val="18"/>
                <w:lang w:val="en-GB"/>
              </w:rPr>
              <w:t xml:space="preserve"> Std I- 0.1.1</w:t>
            </w:r>
          </w:p>
        </w:tc>
        <w:tc>
          <w:tcPr>
            <w:tcW w:w="3231" w:type="dxa"/>
          </w:tcPr>
          <w:p w14:paraId="3E4A5444" w14:textId="77777777" w:rsidR="00EE46C6" w:rsidRPr="00CF434F" w:rsidRDefault="00EE46C6" w:rsidP="00E679E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L'opérateur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économique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doit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spécifier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documenter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l'unité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vérification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et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procédures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activités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sites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couverts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par le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système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mis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au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point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démontrer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la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conformité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aux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exigences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2BSXtra Food and Feed.</w:t>
            </w:r>
          </w:p>
        </w:tc>
        <w:tc>
          <w:tcPr>
            <w:tcW w:w="425" w:type="dxa"/>
          </w:tcPr>
          <w:p w14:paraId="448F7AC3" w14:textId="77777777" w:rsidR="00EE46C6" w:rsidRPr="00CF434F" w:rsidRDefault="00EE46C6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  <w:p w14:paraId="4F655E4F" w14:textId="77777777" w:rsidR="00EE46C6" w:rsidRPr="00CF434F" w:rsidRDefault="00EE46C6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7EDFE3DF" w14:textId="77777777" w:rsidR="00EE46C6" w:rsidRPr="00CF434F" w:rsidRDefault="00EE46C6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6" w:type="dxa"/>
            <w:vAlign w:val="center"/>
          </w:tcPr>
          <w:p w14:paraId="6E35E6C8" w14:textId="77777777" w:rsidR="00EE46C6" w:rsidRPr="00CF434F" w:rsidRDefault="00EE46C6" w:rsidP="00E679E1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4E381C4" w14:textId="77777777" w:rsidR="00EE46C6" w:rsidRPr="00CF434F" w:rsidRDefault="00EE46C6" w:rsidP="00EE46C6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Procedures, et</w:t>
            </w:r>
          </w:p>
          <w:p w14:paraId="46F60076" w14:textId="77777777" w:rsidR="00EE46C6" w:rsidRPr="00CF434F" w:rsidRDefault="00EE46C6" w:rsidP="00EE46C6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Cartographie des processus et des installations, le cas échéant, et </w:t>
            </w:r>
          </w:p>
          <w:p w14:paraId="667C9AE9" w14:textId="77777777" w:rsidR="00EE46C6" w:rsidRPr="00CF434F" w:rsidRDefault="00EE46C6" w:rsidP="00EE46C6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Liste de tous les sites couverts, y compris le stockage et les sous-traitants.</w:t>
            </w:r>
          </w:p>
        </w:tc>
        <w:tc>
          <w:tcPr>
            <w:tcW w:w="1701" w:type="dxa"/>
          </w:tcPr>
          <w:p w14:paraId="554FDA00" w14:textId="77777777" w:rsidR="00EE46C6" w:rsidRPr="00CF434F" w:rsidRDefault="00EE46C6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4876" w:type="dxa"/>
          </w:tcPr>
          <w:p w14:paraId="736B076A" w14:textId="77777777" w:rsidR="00EE46C6" w:rsidRPr="00CF434F" w:rsidRDefault="00EE46C6" w:rsidP="00E679E1">
            <w:pPr>
              <w:pStyle w:val="Default"/>
              <w:rPr>
                <w:rFonts w:asciiTheme="majorHAnsi" w:hAnsiTheme="majorHAnsi" w:cstheme="majorHAnsi"/>
                <w:b/>
                <w:bCs/>
                <w:color w:val="4C94D8" w:themeColor="text2" w:themeTint="80"/>
                <w:sz w:val="18"/>
                <w:szCs w:val="18"/>
              </w:rPr>
            </w:pPr>
            <w:r w:rsidRPr="00CF434F">
              <w:rPr>
                <w:rFonts w:asciiTheme="majorHAnsi" w:hAnsiTheme="majorHAnsi" w:cstheme="majorHAnsi"/>
                <w:b/>
                <w:bCs/>
                <w:color w:val="4C94D8" w:themeColor="text2" w:themeTint="80"/>
                <w:sz w:val="18"/>
                <w:szCs w:val="18"/>
              </w:rPr>
              <w:t>DÉCRIRE LES ÉLÉMENTS DE PREUVE VUS (OU MANQUANTS)</w:t>
            </w:r>
          </w:p>
          <w:p w14:paraId="6C087068" w14:textId="77777777" w:rsidR="00EE46C6" w:rsidRPr="00CF434F" w:rsidRDefault="00EE46C6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</w:tcPr>
          <w:p w14:paraId="1ACD2C36" w14:textId="77777777" w:rsidR="00EE46C6" w:rsidRPr="00CF434F" w:rsidRDefault="00EE46C6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54" w:type="dxa"/>
          </w:tcPr>
          <w:p w14:paraId="4C25D2C8" w14:textId="77777777" w:rsidR="00EE46C6" w:rsidRPr="00CF434F" w:rsidRDefault="00EE46C6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EE46C6" w:rsidRPr="00CF434F" w14:paraId="11BDBEB4" w14:textId="77777777" w:rsidTr="00411E0A">
        <w:trPr>
          <w:cantSplit/>
          <w:trHeight w:val="366"/>
        </w:trPr>
        <w:tc>
          <w:tcPr>
            <w:tcW w:w="15593" w:type="dxa"/>
            <w:gridSpan w:val="10"/>
            <w:shd w:val="clear" w:color="auto" w:fill="F1A983" w:themeFill="accent2" w:themeFillTint="99"/>
            <w:vAlign w:val="center"/>
          </w:tcPr>
          <w:p w14:paraId="394B1DA9" w14:textId="77777777" w:rsidR="00EE46C6" w:rsidRPr="00CF434F" w:rsidRDefault="00EE46C6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  <w:t xml:space="preserve">Critère 0.2 – Information sur l’éligibilité </w:t>
            </w:r>
          </w:p>
        </w:tc>
      </w:tr>
      <w:tr w:rsidR="00EE46C6" w:rsidRPr="00CF434F" w14:paraId="42E9741E" w14:textId="77777777" w:rsidTr="00E679E1">
        <w:trPr>
          <w:cantSplit/>
        </w:trPr>
        <w:tc>
          <w:tcPr>
            <w:tcW w:w="850" w:type="dxa"/>
          </w:tcPr>
          <w:p w14:paraId="3749BEDB" w14:textId="77777777" w:rsidR="00EE46C6" w:rsidRPr="00CF434F" w:rsidRDefault="00EE46C6" w:rsidP="00E679E1">
            <w:pPr>
              <w:spacing w:before="60" w:after="6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lastRenderedPageBreak/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 I- 0.2.1</w:t>
            </w:r>
          </w:p>
        </w:tc>
        <w:tc>
          <w:tcPr>
            <w:tcW w:w="3231" w:type="dxa"/>
          </w:tcPr>
          <w:p w14:paraId="232BABA1" w14:textId="77777777" w:rsidR="00EE46C6" w:rsidRPr="00CF434F" w:rsidRDefault="00EE46C6" w:rsidP="00E679E1">
            <w:pPr>
              <w:ind w:right="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L'opérateur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économique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doit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disposer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d'une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procédure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écrite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s'assurer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que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la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biomasse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est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certifiée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RED II par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un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système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volontaire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reconnu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par la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Commission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européenne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par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un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système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durabilité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référencé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SAI/FSA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SAI/FSA Gold.</w:t>
            </w:r>
          </w:p>
        </w:tc>
        <w:tc>
          <w:tcPr>
            <w:tcW w:w="425" w:type="dxa"/>
            <w:vAlign w:val="center"/>
          </w:tcPr>
          <w:p w14:paraId="5D6411AF" w14:textId="77777777" w:rsidR="00EE46C6" w:rsidRPr="00CF434F" w:rsidRDefault="00EE46C6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  <w:p w14:paraId="63074A60" w14:textId="77777777" w:rsidR="00EE46C6" w:rsidRPr="00CF434F" w:rsidRDefault="00EE46C6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5" w:type="dxa"/>
            <w:vAlign w:val="center"/>
          </w:tcPr>
          <w:p w14:paraId="29BD42FB" w14:textId="77777777" w:rsidR="00EE46C6" w:rsidRPr="00CF434F" w:rsidRDefault="00EE46C6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5CBF658F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35A7F8A4" w14:textId="77777777" w:rsidR="00EE46C6" w:rsidRPr="00CF434F" w:rsidRDefault="00EE46C6" w:rsidP="00EE46C6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61" w:hanging="14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Procédure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et </w:t>
            </w:r>
          </w:p>
          <w:p w14:paraId="07FA6F51" w14:textId="77777777" w:rsidR="00EE46C6" w:rsidRPr="00CF434F" w:rsidRDefault="00EE46C6" w:rsidP="00EE46C6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61" w:hanging="14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Liste des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systèmes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volontaires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reconnus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par la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Commission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européenne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2D8D31B2" w14:textId="77777777" w:rsidR="00EE46C6" w:rsidRPr="00CF434F" w:rsidRDefault="00EE46C6" w:rsidP="00EE46C6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61" w:hanging="14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Certificat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2BSvs valide,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Certificat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valide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délivré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dans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le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cadre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d'un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autre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système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volontaire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reconnu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par la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Commission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européenne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1CB84724" w14:textId="77777777" w:rsidR="00EE46C6" w:rsidRPr="00CF434F" w:rsidRDefault="00EE46C6" w:rsidP="00EE46C6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61" w:hanging="14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Accès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aux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sites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Web de la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plateforme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SAI et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aux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programmes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qui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ont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l'équivalence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SAI/FSA </w:t>
            </w:r>
            <w:proofErr w:type="spellStart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Silver</w:t>
            </w:r>
            <w:proofErr w:type="spellEnd"/>
            <w:r w:rsidRPr="00CF43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et Gold. </w:t>
            </w:r>
          </w:p>
          <w:p w14:paraId="648E02DF" w14:textId="77777777" w:rsidR="00EE46C6" w:rsidRPr="00CF434F" w:rsidRDefault="00EE46C6" w:rsidP="00EE46C6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eastAsiaTheme="minorHAnsi" w:hAnsiTheme="majorHAnsi" w:cstheme="majorHAnsi"/>
                <w:color w:val="000000"/>
                <w:sz w:val="18"/>
                <w:szCs w:val="18"/>
                <w:lang w:val="fr-FR" w:eastAsia="en-US"/>
              </w:rPr>
              <w:t>Accès aux informations pertinentes pour vérifier la validité des certificats de durabilité.</w:t>
            </w:r>
          </w:p>
        </w:tc>
        <w:tc>
          <w:tcPr>
            <w:tcW w:w="1701" w:type="dxa"/>
          </w:tcPr>
          <w:p w14:paraId="37111A33" w14:textId="77777777" w:rsidR="00EE46C6" w:rsidRPr="00CF434F" w:rsidRDefault="00EE46C6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I- 0.2.1</w:t>
            </w:r>
            <w:r w:rsidRPr="00CF434F">
              <w:rPr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Nécessite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conclusions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spécifiques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si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l'audit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est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basé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équivalences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SAI/FSA 3.0.</w:t>
            </w:r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876" w:type="dxa"/>
          </w:tcPr>
          <w:p w14:paraId="2626F3AA" w14:textId="77777777" w:rsidR="00EE46C6" w:rsidRPr="00CF434F" w:rsidRDefault="00EE46C6" w:rsidP="00E679E1">
            <w:pPr>
              <w:pStyle w:val="Default"/>
              <w:rPr>
                <w:rFonts w:asciiTheme="majorHAnsi" w:hAnsiTheme="majorHAnsi" w:cstheme="majorHAnsi"/>
                <w:b/>
                <w:bCs/>
                <w:color w:val="4C94D8" w:themeColor="text2" w:themeTint="80"/>
                <w:sz w:val="18"/>
                <w:szCs w:val="18"/>
              </w:rPr>
            </w:pPr>
            <w:r w:rsidRPr="00CF434F">
              <w:rPr>
                <w:rFonts w:asciiTheme="majorHAnsi" w:hAnsiTheme="majorHAnsi" w:cstheme="majorHAnsi"/>
                <w:b/>
                <w:bCs/>
                <w:color w:val="4C94D8" w:themeColor="text2" w:themeTint="80"/>
                <w:sz w:val="18"/>
                <w:szCs w:val="18"/>
              </w:rPr>
              <w:t>DÉCRIRE LES ÉLÉMENTS DE PREUVE VUS (OU MANQUANTS)</w:t>
            </w:r>
          </w:p>
          <w:p w14:paraId="3F5E9221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4C94D8" w:themeColor="text2" w:themeTint="80"/>
                <w:sz w:val="18"/>
                <w:szCs w:val="18"/>
              </w:rPr>
            </w:pPr>
          </w:p>
          <w:p w14:paraId="2A18DFDF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  <w:p w14:paraId="1751265C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  <w:p w14:paraId="1F3961AE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  <w:p w14:paraId="776503E9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  <w:p w14:paraId="7953E838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  <w:p w14:paraId="23009FCF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  <w:p w14:paraId="69FF9E97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  <w:p w14:paraId="0E73F142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  <w:p w14:paraId="10FB21C2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  <w:p w14:paraId="0D4ACC79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</w:tcPr>
          <w:p w14:paraId="0992EBE4" w14:textId="77777777" w:rsidR="00EE46C6" w:rsidRPr="00CF434F" w:rsidRDefault="00EE46C6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54" w:type="dxa"/>
          </w:tcPr>
          <w:p w14:paraId="64704A90" w14:textId="77777777" w:rsidR="00EE46C6" w:rsidRPr="00CF434F" w:rsidRDefault="00EE46C6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EE46C6" w:rsidRPr="00CF434F" w14:paraId="7350D203" w14:textId="77777777" w:rsidTr="00411E0A">
        <w:trPr>
          <w:cantSplit/>
          <w:trHeight w:val="417"/>
        </w:trPr>
        <w:tc>
          <w:tcPr>
            <w:tcW w:w="15593" w:type="dxa"/>
            <w:gridSpan w:val="10"/>
            <w:shd w:val="clear" w:color="auto" w:fill="F1A983" w:themeFill="accent2" w:themeFillTint="99"/>
            <w:vAlign w:val="center"/>
          </w:tcPr>
          <w:p w14:paraId="11187BC4" w14:textId="77777777" w:rsidR="00EE46C6" w:rsidRPr="00CF434F" w:rsidRDefault="00EE46C6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  <w:t>Critère 0.3 – Information sur l’origine de la biomasse, alimentation humaine et animale</w:t>
            </w:r>
          </w:p>
        </w:tc>
      </w:tr>
      <w:tr w:rsidR="00EE46C6" w:rsidRPr="00CF434F" w14:paraId="48C20515" w14:textId="77777777" w:rsidTr="00E679E1">
        <w:trPr>
          <w:cantSplit/>
        </w:trPr>
        <w:tc>
          <w:tcPr>
            <w:tcW w:w="850" w:type="dxa"/>
          </w:tcPr>
          <w:p w14:paraId="7E95A5B0" w14:textId="77777777" w:rsidR="00EE46C6" w:rsidRPr="00CF434F" w:rsidRDefault="00EE46C6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br w:type="page"/>
            </w:r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br w:type="page"/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</w:t>
            </w:r>
          </w:p>
          <w:p w14:paraId="4E0240A8" w14:textId="77777777" w:rsidR="00EE46C6" w:rsidRPr="00CF434F" w:rsidRDefault="00EE46C6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I- 0.3.1</w:t>
            </w:r>
          </w:p>
        </w:tc>
        <w:tc>
          <w:tcPr>
            <w:tcW w:w="3231" w:type="dxa"/>
          </w:tcPr>
          <w:p w14:paraId="47774047" w14:textId="77777777" w:rsidR="00EE46C6" w:rsidRPr="00CF434F" w:rsidRDefault="00EE46C6" w:rsidP="00E679E1">
            <w:pPr>
              <w:ind w:right="42"/>
              <w:jc w:val="both"/>
              <w:rPr>
                <w:rStyle w:val="normaltextrun"/>
                <w:rFonts w:asciiTheme="majorHAnsi" w:hAnsiTheme="majorHAnsi" w:cstheme="majorHAnsi"/>
                <w:color w:val="000000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L'exploitant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doit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s'assurer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que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lots,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lots et/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volumes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biomasse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,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denrées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alimentaires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d'aliments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animaux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reçus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n'ont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pas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déjà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été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pris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en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compte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la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production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biocarburants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bioénergie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44E9B610" w14:textId="77777777" w:rsidR="00EE46C6" w:rsidRPr="00CF434F" w:rsidRDefault="00EE46C6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  <w:p w14:paraId="54FA6E96" w14:textId="77777777" w:rsidR="00EE46C6" w:rsidRPr="00CF434F" w:rsidRDefault="00EE46C6" w:rsidP="00E67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2671441D" w14:textId="77777777" w:rsidR="00EE46C6" w:rsidRPr="00CF434F" w:rsidRDefault="00EE46C6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6" w:type="dxa"/>
            <w:vAlign w:val="center"/>
          </w:tcPr>
          <w:p w14:paraId="624EDB48" w14:textId="77777777" w:rsidR="00EE46C6" w:rsidRPr="00CF434F" w:rsidRDefault="00EE46C6" w:rsidP="00E679E1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63F55B1" w14:textId="77777777" w:rsidR="00EE46C6" w:rsidRPr="00CF434F" w:rsidRDefault="00EE46C6" w:rsidP="00EE46C6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Copie de la facture et/ou du document de livraison concerné, et </w:t>
            </w:r>
          </w:p>
          <w:p w14:paraId="46C7166E" w14:textId="77777777" w:rsidR="00EE46C6" w:rsidRPr="00CF434F" w:rsidRDefault="00EE46C6" w:rsidP="00EE46C6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Bilan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Massique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</w:p>
          <w:p w14:paraId="5EB45D77" w14:textId="77777777" w:rsidR="00EE46C6" w:rsidRPr="00CF434F" w:rsidRDefault="00EE46C6" w:rsidP="00EE46C6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Declaration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 ou autre preuve que l'envoi, le lot et/ou le volume de biomasse, de denrées alimentaires et d'aliments pour animaux reçus n'ont pas déjà été pris en compte dans la production de biocarburants ou de bioénergie. </w:t>
            </w:r>
          </w:p>
        </w:tc>
        <w:tc>
          <w:tcPr>
            <w:tcW w:w="1701" w:type="dxa"/>
          </w:tcPr>
          <w:p w14:paraId="48728076" w14:textId="77777777" w:rsidR="00EE46C6" w:rsidRPr="00CF434F" w:rsidRDefault="00EE46C6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I- 0.3.1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nécéssite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 des conclusions spécifiques </w:t>
            </w:r>
          </w:p>
        </w:tc>
        <w:tc>
          <w:tcPr>
            <w:tcW w:w="4876" w:type="dxa"/>
          </w:tcPr>
          <w:p w14:paraId="6BB70DB9" w14:textId="77777777" w:rsidR="00EE46C6" w:rsidRPr="00CF434F" w:rsidRDefault="00EE46C6" w:rsidP="00E679E1">
            <w:pPr>
              <w:pStyle w:val="Default"/>
              <w:rPr>
                <w:rFonts w:asciiTheme="majorHAnsi" w:hAnsiTheme="majorHAnsi" w:cstheme="majorHAnsi"/>
                <w:b/>
                <w:bCs/>
                <w:color w:val="4C94D8" w:themeColor="text2" w:themeTint="80"/>
                <w:sz w:val="18"/>
                <w:szCs w:val="18"/>
              </w:rPr>
            </w:pPr>
            <w:r w:rsidRPr="00CF434F">
              <w:rPr>
                <w:rFonts w:asciiTheme="majorHAnsi" w:hAnsiTheme="majorHAnsi" w:cstheme="majorHAnsi"/>
                <w:b/>
                <w:bCs/>
                <w:color w:val="4C94D8" w:themeColor="text2" w:themeTint="80"/>
                <w:sz w:val="18"/>
                <w:szCs w:val="18"/>
              </w:rPr>
              <w:t>DÉCRIRE LES ÉLÉMENTS DE PREUVE VUS (OU MANQUANTS)</w:t>
            </w:r>
          </w:p>
          <w:p w14:paraId="689670C2" w14:textId="77777777" w:rsidR="00EE46C6" w:rsidRPr="00CF434F" w:rsidRDefault="00EE46C6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737" w:type="dxa"/>
          </w:tcPr>
          <w:p w14:paraId="6E70BABC" w14:textId="77777777" w:rsidR="00EE46C6" w:rsidRPr="00CF434F" w:rsidRDefault="00EE46C6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54" w:type="dxa"/>
          </w:tcPr>
          <w:p w14:paraId="75B8AC97" w14:textId="77777777" w:rsidR="00EE46C6" w:rsidRPr="00CF434F" w:rsidRDefault="00EE46C6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</w:tbl>
    <w:p w14:paraId="33AEAD17" w14:textId="53DFF160" w:rsidR="005D3ED0" w:rsidRPr="00CF434F" w:rsidRDefault="005D3ED0" w:rsidP="000003B5">
      <w:pPr>
        <w:rPr>
          <w:sz w:val="18"/>
          <w:szCs w:val="18"/>
        </w:rPr>
      </w:pPr>
    </w:p>
    <w:p w14:paraId="6D2D1488" w14:textId="77777777" w:rsidR="00411E0A" w:rsidRPr="00CF434F" w:rsidRDefault="00411E0A" w:rsidP="000003B5">
      <w:pPr>
        <w:rPr>
          <w:sz w:val="18"/>
          <w:szCs w:val="18"/>
        </w:rPr>
      </w:pPr>
    </w:p>
    <w:p w14:paraId="550FD7CC" w14:textId="77777777" w:rsidR="00411E0A" w:rsidRPr="00CF434F" w:rsidRDefault="00411E0A" w:rsidP="000003B5">
      <w:pPr>
        <w:rPr>
          <w:sz w:val="18"/>
          <w:szCs w:val="18"/>
        </w:rPr>
      </w:pPr>
    </w:p>
    <w:p w14:paraId="5145DB77" w14:textId="77777777" w:rsidR="00411E0A" w:rsidRPr="00CF434F" w:rsidRDefault="00411E0A" w:rsidP="000003B5">
      <w:pPr>
        <w:rPr>
          <w:sz w:val="18"/>
          <w:szCs w:val="18"/>
        </w:rPr>
      </w:pPr>
    </w:p>
    <w:tbl>
      <w:tblPr>
        <w:tblStyle w:val="Grilledutableau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4"/>
        <w:gridCol w:w="3171"/>
        <w:gridCol w:w="116"/>
        <w:gridCol w:w="303"/>
        <w:gridCol w:w="122"/>
        <w:gridCol w:w="297"/>
        <w:gridCol w:w="128"/>
        <w:gridCol w:w="426"/>
        <w:gridCol w:w="2268"/>
        <w:gridCol w:w="1701"/>
        <w:gridCol w:w="4819"/>
        <w:gridCol w:w="709"/>
        <w:gridCol w:w="709"/>
      </w:tblGrid>
      <w:tr w:rsidR="000003B5" w:rsidRPr="00CF434F" w14:paraId="4A02E0F9" w14:textId="77777777" w:rsidTr="000003B5">
        <w:trPr>
          <w:trHeight w:val="340"/>
        </w:trPr>
        <w:tc>
          <w:tcPr>
            <w:tcW w:w="15593" w:type="dxa"/>
            <w:gridSpan w:val="13"/>
            <w:shd w:val="clear" w:color="auto" w:fill="80340D" w:themeFill="accent2" w:themeFillShade="80"/>
            <w:vAlign w:val="center"/>
          </w:tcPr>
          <w:p w14:paraId="70961DD1" w14:textId="1FF21109" w:rsidR="000003B5" w:rsidRPr="00CF434F" w:rsidRDefault="00EE46C6" w:rsidP="00E679E1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CF434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Transformateurs et</w:t>
            </w:r>
            <w:r w:rsidR="000003B5" w:rsidRPr="00CF434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0003B5" w:rsidRPr="00CF434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négociants</w:t>
            </w:r>
            <w:proofErr w:type="spellEnd"/>
          </w:p>
        </w:tc>
      </w:tr>
      <w:tr w:rsidR="000003B5" w:rsidRPr="00CF434F" w14:paraId="49F01A20" w14:textId="77777777" w:rsidTr="000003B5">
        <w:trPr>
          <w:trHeight w:val="340"/>
        </w:trPr>
        <w:tc>
          <w:tcPr>
            <w:tcW w:w="15593" w:type="dxa"/>
            <w:gridSpan w:val="13"/>
            <w:shd w:val="clear" w:color="auto" w:fill="BF4E14" w:themeFill="accent2" w:themeFillShade="BF"/>
            <w:vAlign w:val="center"/>
          </w:tcPr>
          <w:p w14:paraId="6B7D88A5" w14:textId="52FC55F1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lastRenderedPageBreak/>
              <w:t>Principe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</w:t>
            </w:r>
            <w:r w:rsidR="004E229C"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0:</w:t>
            </w:r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Système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de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gestion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et de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surveillance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interne</w:t>
            </w:r>
          </w:p>
        </w:tc>
      </w:tr>
      <w:tr w:rsidR="000003B5" w:rsidRPr="00CF434F" w14:paraId="47C16AA0" w14:textId="77777777" w:rsidTr="000003B5">
        <w:trPr>
          <w:trHeight w:val="340"/>
        </w:trPr>
        <w:tc>
          <w:tcPr>
            <w:tcW w:w="15593" w:type="dxa"/>
            <w:gridSpan w:val="13"/>
            <w:shd w:val="clear" w:color="auto" w:fill="F6C5AC" w:themeFill="accent2" w:themeFillTint="66"/>
            <w:vAlign w:val="center"/>
          </w:tcPr>
          <w:p w14:paraId="1B2724F4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Critère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0.1 –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Système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interne de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gestion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et de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suivi</w:t>
            </w:r>
            <w:proofErr w:type="spellEnd"/>
          </w:p>
        </w:tc>
      </w:tr>
      <w:tr w:rsidR="000003B5" w:rsidRPr="00CF434F" w14:paraId="48514BF5" w14:textId="77777777" w:rsidTr="00E679E1">
        <w:trPr>
          <w:cantSplit/>
          <w:trHeight w:val="700"/>
        </w:trPr>
        <w:tc>
          <w:tcPr>
            <w:tcW w:w="824" w:type="dxa"/>
          </w:tcPr>
          <w:p w14:paraId="622448A0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Std</w:t>
            </w:r>
          </w:p>
          <w:p w14:paraId="25030D6D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I- 0.1.1</w:t>
            </w:r>
          </w:p>
        </w:tc>
        <w:tc>
          <w:tcPr>
            <w:tcW w:w="3287" w:type="dxa"/>
            <w:gridSpan w:val="2"/>
          </w:tcPr>
          <w:p w14:paraId="0126C646" w14:textId="77777777" w:rsidR="000003B5" w:rsidRPr="00CF434F" w:rsidRDefault="000003B5" w:rsidP="00E679E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L'opérateur économique </w:t>
            </w:r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spécifie </w:t>
            </w:r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et documente </w:t>
            </w:r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l'unité de vérification</w:t>
            </w:r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et les procédures pour les activités et les sites couverts par le système mis au point pour démontrer la conformité aux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exigences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de 2BSXtra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denrées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alimentaires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et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aliments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animaux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425" w:type="dxa"/>
            <w:gridSpan w:val="2"/>
          </w:tcPr>
          <w:p w14:paraId="47911D55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  <w:p w14:paraId="251F1EAC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5E874CB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14:paraId="31D54E16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F2180A0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gram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Procédures ;</w:t>
            </w:r>
            <w:proofErr w:type="gramEnd"/>
          </w:p>
          <w:p w14:paraId="235063C7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Cartographie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processus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 des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installations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, le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cas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échéant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, et</w:t>
            </w:r>
          </w:p>
          <w:p w14:paraId="5E10811D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Liste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tous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sites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couverts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, y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compris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le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stockage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sous-traitants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A361BBD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I- 0.4.1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nécessite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constatations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précises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819" w:type="dxa"/>
          </w:tcPr>
          <w:p w14:paraId="48D2F235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DÉCRIRE LES PREUVES VUES (OU MANQUANTES)</w:t>
            </w:r>
          </w:p>
        </w:tc>
        <w:tc>
          <w:tcPr>
            <w:tcW w:w="709" w:type="dxa"/>
          </w:tcPr>
          <w:p w14:paraId="5FA2BF35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018E39F0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0003B5" w:rsidRPr="00CF434F" w14:paraId="18D86D93" w14:textId="77777777" w:rsidTr="000003B5">
        <w:trPr>
          <w:cantSplit/>
          <w:trHeight w:val="417"/>
        </w:trPr>
        <w:tc>
          <w:tcPr>
            <w:tcW w:w="15593" w:type="dxa"/>
            <w:gridSpan w:val="13"/>
            <w:shd w:val="clear" w:color="auto" w:fill="F6C5AC" w:themeFill="accent2" w:themeFillTint="66"/>
            <w:vAlign w:val="center"/>
          </w:tcPr>
          <w:p w14:paraId="71DBD071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Critère 0.2 – Informations relatives à l'origine de la biomasse, à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l'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alimentation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humaine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et</w:t>
            </w: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animale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et</w:t>
            </w:r>
            <w:proofErr w:type="gram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à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l'évaluation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l'analyse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risques</w:t>
            </w:r>
            <w:proofErr w:type="spellEnd"/>
          </w:p>
        </w:tc>
      </w:tr>
      <w:tr w:rsidR="000003B5" w:rsidRPr="00CF434F" w14:paraId="57EC2584" w14:textId="77777777" w:rsidTr="00E679E1">
        <w:trPr>
          <w:cantSplit/>
          <w:trHeight w:val="1551"/>
        </w:trPr>
        <w:tc>
          <w:tcPr>
            <w:tcW w:w="824" w:type="dxa"/>
          </w:tcPr>
          <w:p w14:paraId="41F050E2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Std</w:t>
            </w:r>
          </w:p>
          <w:p w14:paraId="3B5BB595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I- 0.2.1</w:t>
            </w:r>
          </w:p>
        </w:tc>
        <w:tc>
          <w:tcPr>
            <w:tcW w:w="3171" w:type="dxa"/>
          </w:tcPr>
          <w:p w14:paraId="4851F9E8" w14:textId="77777777" w:rsidR="000003B5" w:rsidRPr="00CF434F" w:rsidRDefault="000003B5" w:rsidP="00E679E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L'opérateur économique </w:t>
            </w:r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spécifie </w:t>
            </w:r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les données, documents et/ou registres nécessaires pour que ses fournisseurs de biomasse, de denrées alimentaires et d'aliments pour animaux puissent démontrer l'origine du produit au moyen d' </w:t>
            </w:r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  <w:u w:val="single"/>
              </w:rPr>
              <w:t xml:space="preserve">un certificat 2BSXtra Food and Feed en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  <w:u w:val="single"/>
              </w:rPr>
              <w:t>cours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  <w:u w:val="single"/>
              </w:rPr>
              <w:t xml:space="preserve"> de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  <w:u w:val="single"/>
              </w:rPr>
              <w:t>validité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  <w:u w:val="single"/>
              </w:rPr>
              <w:t>.</w:t>
            </w:r>
          </w:p>
        </w:tc>
        <w:tc>
          <w:tcPr>
            <w:tcW w:w="419" w:type="dxa"/>
            <w:gridSpan w:val="2"/>
          </w:tcPr>
          <w:p w14:paraId="0BED1EE3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  <w:p w14:paraId="22C6A9A2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3A66640C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0519030B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X</w:t>
            </w:r>
          </w:p>
        </w:tc>
        <w:tc>
          <w:tcPr>
            <w:tcW w:w="2268" w:type="dxa"/>
          </w:tcPr>
          <w:p w14:paraId="2B9678F1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Liste des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données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documents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et/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enregistrements</w:t>
            </w:r>
            <w:proofErr w:type="spellEnd"/>
          </w:p>
          <w:p w14:paraId="46AA7504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Certificat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2BSXtra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l'alimentation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humaine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animale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valide</w:t>
            </w:r>
          </w:p>
        </w:tc>
        <w:tc>
          <w:tcPr>
            <w:tcW w:w="1701" w:type="dxa"/>
          </w:tcPr>
          <w:p w14:paraId="1457EE87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4819" w:type="dxa"/>
          </w:tcPr>
          <w:p w14:paraId="0C665CE1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DÉCRIRE LES PREUVES VUES (OU MANQUANTES)</w:t>
            </w:r>
          </w:p>
        </w:tc>
        <w:tc>
          <w:tcPr>
            <w:tcW w:w="709" w:type="dxa"/>
          </w:tcPr>
          <w:p w14:paraId="4E05E12E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529C7973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0003B5" w:rsidRPr="00CF434F" w14:paraId="48A007AD" w14:textId="77777777" w:rsidTr="000003B5">
        <w:trPr>
          <w:cantSplit/>
          <w:trHeight w:val="411"/>
        </w:trPr>
        <w:tc>
          <w:tcPr>
            <w:tcW w:w="15593" w:type="dxa"/>
            <w:gridSpan w:val="13"/>
            <w:shd w:val="clear" w:color="auto" w:fill="F6C5AC" w:themeFill="accent2" w:themeFillTint="66"/>
            <w:vAlign w:val="center"/>
          </w:tcPr>
          <w:p w14:paraId="196812A5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Critère 0.3 – Informations concernant l'origine, le type et le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volume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de la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biomasse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, des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denrées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alimentaires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et des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aliments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animaux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0003B5" w:rsidRPr="00CF434F" w14:paraId="3E9316EA" w14:textId="77777777" w:rsidTr="00E679E1">
        <w:trPr>
          <w:cantSplit/>
          <w:trHeight w:val="276"/>
        </w:trPr>
        <w:tc>
          <w:tcPr>
            <w:tcW w:w="824" w:type="dxa"/>
          </w:tcPr>
          <w:p w14:paraId="3E53597B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Std</w:t>
            </w:r>
          </w:p>
          <w:p w14:paraId="1E9C9129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I- 0.3.1</w:t>
            </w:r>
          </w:p>
        </w:tc>
        <w:tc>
          <w:tcPr>
            <w:tcW w:w="3171" w:type="dxa"/>
          </w:tcPr>
          <w:p w14:paraId="7779A4B0" w14:textId="77777777" w:rsidR="000003B5" w:rsidRPr="00CF434F" w:rsidRDefault="000003B5" w:rsidP="00E679E1">
            <w:pPr>
              <w:ind w:right="42"/>
              <w:jc w:val="both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L'exploitant veille à ce que les lots, les lots et/ou les volumes de biomasse, de denrées alimentaires et d'aliments pour animaux reçus n'aient pas déjà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été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pris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en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compte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dans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la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production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biocarburants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bioénergie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419" w:type="dxa"/>
            <w:gridSpan w:val="2"/>
          </w:tcPr>
          <w:p w14:paraId="10AFE921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478F4DC3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5FA70336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25331280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Registres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indiquant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le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pays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d'origine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, la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durabilité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la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biomasse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,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l'alimentation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humaine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animale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</w:t>
            </w:r>
          </w:p>
          <w:p w14:paraId="335970D9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Copie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la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facture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et/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du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document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livraison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correspondant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, et</w:t>
            </w:r>
          </w:p>
          <w:p w14:paraId="094AFF17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Bilan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massique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D28C90F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Déclaration ou autre preuve que l'envoi, le lot et/ou le volume de biomasse, de denrées alimentaires et d'aliments pour animaux reçus n'ont pas déjà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été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pris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en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compte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dans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la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production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biocarburants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bioénergie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0B604AA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4819" w:type="dxa"/>
          </w:tcPr>
          <w:p w14:paraId="21DDBAC9" w14:textId="06F8AB5B" w:rsidR="000003B5" w:rsidRPr="00CF434F" w:rsidRDefault="00411E0A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DÉCRIRE LES PREUVES VUES (OU MANQUANTES)</w:t>
            </w:r>
          </w:p>
        </w:tc>
        <w:tc>
          <w:tcPr>
            <w:tcW w:w="709" w:type="dxa"/>
          </w:tcPr>
          <w:p w14:paraId="5253805E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68707DB2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</w:tbl>
    <w:p w14:paraId="016E7E5D" w14:textId="77777777" w:rsidR="00EE46C6" w:rsidRPr="00CF434F" w:rsidRDefault="00EE46C6" w:rsidP="000003B5">
      <w:pPr>
        <w:rPr>
          <w:sz w:val="18"/>
          <w:szCs w:val="18"/>
        </w:rPr>
      </w:pPr>
    </w:p>
    <w:p w14:paraId="1B3EB237" w14:textId="77777777" w:rsidR="00EE46C6" w:rsidRPr="00CF434F" w:rsidRDefault="00EE46C6" w:rsidP="000003B5">
      <w:pPr>
        <w:rPr>
          <w:sz w:val="18"/>
          <w:szCs w:val="18"/>
        </w:rPr>
      </w:pPr>
    </w:p>
    <w:tbl>
      <w:tblPr>
        <w:tblStyle w:val="Grilledutableau"/>
        <w:tblpPr w:leftFromText="180" w:rightFromText="180" w:vertAnchor="text" w:tblpX="137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425"/>
        <w:gridCol w:w="426"/>
        <w:gridCol w:w="425"/>
        <w:gridCol w:w="2268"/>
        <w:gridCol w:w="1701"/>
        <w:gridCol w:w="4819"/>
        <w:gridCol w:w="709"/>
        <w:gridCol w:w="709"/>
      </w:tblGrid>
      <w:tr w:rsidR="000003B5" w:rsidRPr="00CF434F" w14:paraId="496D0D16" w14:textId="77777777" w:rsidTr="000003B5">
        <w:trPr>
          <w:trHeight w:val="414"/>
        </w:trPr>
        <w:tc>
          <w:tcPr>
            <w:tcW w:w="15588" w:type="dxa"/>
            <w:gridSpan w:val="10"/>
            <w:shd w:val="clear" w:color="auto" w:fill="80340D" w:themeFill="accent2" w:themeFillShade="80"/>
            <w:vAlign w:val="center"/>
          </w:tcPr>
          <w:p w14:paraId="0011E439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Pour l'ensemble de la chaîne d'approvisionnement (premiers points de collecte, producteurs et négociants)</w:t>
            </w:r>
          </w:p>
        </w:tc>
      </w:tr>
      <w:tr w:rsidR="000003B5" w:rsidRPr="00CF434F" w14:paraId="344173D9" w14:textId="77777777" w:rsidTr="000003B5">
        <w:trPr>
          <w:trHeight w:val="288"/>
        </w:trPr>
        <w:tc>
          <w:tcPr>
            <w:tcW w:w="15588" w:type="dxa"/>
            <w:gridSpan w:val="10"/>
            <w:shd w:val="clear" w:color="auto" w:fill="BF4E14" w:themeFill="accent2" w:themeFillShade="BF"/>
            <w:vAlign w:val="center"/>
          </w:tcPr>
          <w:p w14:paraId="779BEF8A" w14:textId="0C723318" w:rsidR="000003B5" w:rsidRPr="00CF434F" w:rsidRDefault="000003B5" w:rsidP="00E679E1">
            <w:pPr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val="fr-FR" w:eastAsia="en-US"/>
              </w:rPr>
            </w:pPr>
            <w:r w:rsidRPr="00CF434F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br w:type="page"/>
            </w:r>
            <w:r w:rsidRPr="00CF434F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br w:type="page"/>
            </w:r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Principe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E46C6"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01:</w:t>
            </w:r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Système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chaîne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de traçabilité </w:t>
            </w:r>
          </w:p>
        </w:tc>
      </w:tr>
      <w:tr w:rsidR="000003B5" w:rsidRPr="00CF434F" w14:paraId="5D6A02F2" w14:textId="77777777" w:rsidTr="000003B5">
        <w:trPr>
          <w:trHeight w:val="348"/>
        </w:trPr>
        <w:tc>
          <w:tcPr>
            <w:tcW w:w="15588" w:type="dxa"/>
            <w:gridSpan w:val="10"/>
            <w:shd w:val="clear" w:color="auto" w:fill="F1A983" w:themeFill="accent2" w:themeFillTint="99"/>
            <w:vAlign w:val="center"/>
          </w:tcPr>
          <w:p w14:paraId="4E062944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  <w:r w:rsidRPr="00CF434F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br w:type="page"/>
            </w: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Critère 1.1 – Système de contrôle pour la réception et la livraison de matériaux/produits durables (bilan massique ou système ségrégué)</w:t>
            </w:r>
          </w:p>
        </w:tc>
      </w:tr>
      <w:tr w:rsidR="000003B5" w:rsidRPr="00CF434F" w14:paraId="576016FE" w14:textId="77777777" w:rsidTr="00E679E1">
        <w:trPr>
          <w:cantSplit/>
        </w:trPr>
        <w:tc>
          <w:tcPr>
            <w:tcW w:w="846" w:type="dxa"/>
          </w:tcPr>
          <w:p w14:paraId="46FFF7AC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Std</w:t>
            </w:r>
          </w:p>
          <w:p w14:paraId="64CD61B1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I- 1.1.1</w:t>
            </w:r>
          </w:p>
        </w:tc>
        <w:tc>
          <w:tcPr>
            <w:tcW w:w="3260" w:type="dxa"/>
          </w:tcPr>
          <w:p w14:paraId="3629A5D5" w14:textId="77777777" w:rsidR="000003B5" w:rsidRPr="00CF434F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L'opérateur économique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doit avoir mis au point et documenté un système de chaîne de contrôle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pour la biomasse, les denrées alimentaires et les aliments pour animaux potentiellement durables qu'il reçoit. </w:t>
            </w:r>
          </w:p>
          <w:p w14:paraId="76CBB0BF" w14:textId="77777777" w:rsidR="000003B5" w:rsidRPr="00CF434F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Un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système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chaîne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possession distinct doit être maintenu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pour chaque type de matière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 le système doit être officiellement désigné comme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étant séparé ou équilibré en masse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(12 mois ou 3 mois selon s'il s'agit d'un premier point de rassemblement ou d'un transformateur/commerçant)</w:t>
            </w:r>
          </w:p>
          <w:p w14:paraId="7F487D74" w14:textId="77777777" w:rsidR="000003B5" w:rsidRPr="00CF434F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2BSXtra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matières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premières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destinées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à l'alimentation humaine et animale doivent être comptabilisées séparément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1B01C4E7" w14:textId="77777777" w:rsidR="000003B5" w:rsidRPr="00CF434F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matières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premières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biomasse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certifiées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2BSvs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seront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comptabilisées séparément des matériaux ayant une certification équivalente SAI Silver/Gold. </w:t>
            </w:r>
          </w:p>
        </w:tc>
        <w:tc>
          <w:tcPr>
            <w:tcW w:w="425" w:type="dxa"/>
            <w:vAlign w:val="center"/>
          </w:tcPr>
          <w:p w14:paraId="2DEB8BD7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14:paraId="40607A3E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503E6CC5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5DFB004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Ensemble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procédures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documentées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le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système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chaîne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possession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ou</w:t>
            </w:r>
            <w:proofErr w:type="spellEnd"/>
          </w:p>
          <w:p w14:paraId="717032E3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Ensemble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d'instructions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travail</w:t>
            </w:r>
            <w:proofErr w:type="spellEnd"/>
          </w:p>
          <w:p w14:paraId="785D1976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Chaque type de matériau est identifié séparément, y compris s'il est conforme aux normes 2BS EU, 2BS Xtra Food and Feed ou SIA Silver ou </w:t>
            </w:r>
            <w:proofErr w:type="gram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SAI Gold</w:t>
            </w:r>
            <w:proofErr w:type="gram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 au modèle de chaîne de contrôle indiqué comme séparé ou bilan massique. </w:t>
            </w:r>
          </w:p>
        </w:tc>
        <w:tc>
          <w:tcPr>
            <w:tcW w:w="1701" w:type="dxa"/>
          </w:tcPr>
          <w:p w14:paraId="26A6AC65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I- 1.1.1 a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besoin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constatations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précises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819" w:type="dxa"/>
          </w:tcPr>
          <w:p w14:paraId="63306127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DÉCRIRE LES PREUVES VUES (OU MANQUANTES)</w:t>
            </w:r>
          </w:p>
        </w:tc>
        <w:tc>
          <w:tcPr>
            <w:tcW w:w="709" w:type="dxa"/>
          </w:tcPr>
          <w:p w14:paraId="520BF36D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2F8689C5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0003B5" w:rsidRPr="00CF434F" w14:paraId="018DE01B" w14:textId="77777777" w:rsidTr="000003B5">
        <w:trPr>
          <w:cantSplit/>
          <w:trHeight w:val="402"/>
        </w:trPr>
        <w:tc>
          <w:tcPr>
            <w:tcW w:w="15588" w:type="dxa"/>
            <w:gridSpan w:val="10"/>
            <w:shd w:val="clear" w:color="auto" w:fill="F1A983" w:themeFill="accent2" w:themeFillTint="99"/>
            <w:vAlign w:val="center"/>
          </w:tcPr>
          <w:p w14:paraId="1C5EF29B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Critère 1.2 – Exigences d'un système SEGREGATED (facultatif)</w:t>
            </w:r>
          </w:p>
        </w:tc>
      </w:tr>
      <w:tr w:rsidR="000003B5" w:rsidRPr="00CF434F" w14:paraId="28BDB4E1" w14:textId="77777777" w:rsidTr="00E679E1">
        <w:trPr>
          <w:cantSplit/>
        </w:trPr>
        <w:tc>
          <w:tcPr>
            <w:tcW w:w="846" w:type="dxa"/>
          </w:tcPr>
          <w:p w14:paraId="3ADB1D56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Std</w:t>
            </w:r>
          </w:p>
          <w:p w14:paraId="0301488F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I- 1.2.1</w:t>
            </w:r>
          </w:p>
        </w:tc>
        <w:tc>
          <w:tcPr>
            <w:tcW w:w="3260" w:type="dxa"/>
          </w:tcPr>
          <w:p w14:paraId="63494C7F" w14:textId="020075D0" w:rsidR="000003B5" w:rsidRPr="00CF434F" w:rsidRDefault="000003B5" w:rsidP="00E679E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L'opérateur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="007361C9"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économique</w:t>
            </w:r>
            <w:proofErr w:type="spellEnd"/>
            <w:r w:rsidR="007361C9"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="007361C9"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dispose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d'une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procédure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manipulation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et d'entreposage qui sépare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chaque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type de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matériau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certifié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2BSXtra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l'alimentation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humaine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et </w:t>
            </w:r>
            <w:proofErr w:type="spellStart"/>
            <w:r w:rsidR="00FA5207"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animale</w:t>
            </w:r>
            <w:proofErr w:type="spellEnd"/>
            <w:r w:rsidR="00FA5207"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="00FA5207"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de</w:t>
            </w:r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tous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autres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matériaux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même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s'il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reste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sous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le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contrôle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physique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d'un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sous-traitant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0E0886F9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14:paraId="782EB8F9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37B2357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6079640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Procédure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instruction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travail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documentée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décrivant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la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manipulation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et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l'entreposage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matières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séparées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  <w:p w14:paraId="3C1BE054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Installations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physiques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stockage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matières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séparées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479D082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4819" w:type="dxa"/>
          </w:tcPr>
          <w:p w14:paraId="2040C479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6FBE271A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6CEF05C8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0003B5" w:rsidRPr="00CF434F" w14:paraId="0A4E9E53" w14:textId="77777777" w:rsidTr="00E679E1">
        <w:trPr>
          <w:cantSplit/>
        </w:trPr>
        <w:tc>
          <w:tcPr>
            <w:tcW w:w="846" w:type="dxa"/>
          </w:tcPr>
          <w:p w14:paraId="10D0F2E2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Std</w:t>
            </w:r>
          </w:p>
          <w:p w14:paraId="3B028518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I- 1.2.2</w:t>
            </w:r>
          </w:p>
        </w:tc>
        <w:tc>
          <w:tcPr>
            <w:tcW w:w="3260" w:type="dxa"/>
          </w:tcPr>
          <w:p w14:paraId="6AB8BE03" w14:textId="77777777" w:rsidR="000003B5" w:rsidRPr="00CF434F" w:rsidRDefault="000003B5" w:rsidP="00E679E1">
            <w:pPr>
              <w:ind w:right="42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  <w:lang w:val="fr-FR"/>
              </w:rPr>
            </w:pPr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L'opérateur économique </w:t>
            </w:r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dispose</w:t>
            </w:r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d'une procédure permettant de vérifier que les </w:t>
            </w:r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intrants d'un système séparé ont également été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séparés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pendant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le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traitement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, la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manutention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et le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stockage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en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amont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4C5E6031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426" w:type="dxa"/>
            <w:vAlign w:val="center"/>
          </w:tcPr>
          <w:p w14:paraId="5B9D0F3E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35E9664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4EBC3E23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Procédure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documentée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instruction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travail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décrivant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la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vérification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en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amont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de la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production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, de la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manutention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et de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l'entreposage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matières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séparées</w:t>
            </w:r>
            <w:proofErr w:type="spellEnd"/>
            <w:r w:rsidRPr="00CF434F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6A8AD51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4819" w:type="dxa"/>
          </w:tcPr>
          <w:p w14:paraId="300DC5C8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1B695CD4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341AFC52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0003B5" w:rsidRPr="00CF434F" w14:paraId="31DBC28B" w14:textId="77777777" w:rsidTr="000003B5">
        <w:trPr>
          <w:cantSplit/>
          <w:trHeight w:val="419"/>
        </w:trPr>
        <w:tc>
          <w:tcPr>
            <w:tcW w:w="15588" w:type="dxa"/>
            <w:gridSpan w:val="10"/>
            <w:shd w:val="clear" w:color="auto" w:fill="F1A983" w:themeFill="accent2" w:themeFillTint="99"/>
            <w:vAlign w:val="center"/>
          </w:tcPr>
          <w:p w14:paraId="051C830A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Critère 1.3 – Exigences relatives à l'utilisation d'un système de BILAN DE MASSE</w:t>
            </w:r>
          </w:p>
        </w:tc>
      </w:tr>
      <w:tr w:rsidR="000003B5" w:rsidRPr="00CF434F" w14:paraId="4428C009" w14:textId="77777777" w:rsidTr="00E679E1">
        <w:trPr>
          <w:cantSplit/>
        </w:trPr>
        <w:tc>
          <w:tcPr>
            <w:tcW w:w="846" w:type="dxa"/>
          </w:tcPr>
          <w:p w14:paraId="56C312E8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Std</w:t>
            </w:r>
          </w:p>
          <w:p w14:paraId="14B921E7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I- 1.3.2</w:t>
            </w:r>
          </w:p>
        </w:tc>
        <w:tc>
          <w:tcPr>
            <w:tcW w:w="3260" w:type="dxa"/>
          </w:tcPr>
          <w:p w14:paraId="1D5669AC" w14:textId="77777777" w:rsidR="000003B5" w:rsidRPr="00CF434F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L'opérateur économique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veille à ce qu'aucun crédit ne soit réclamé avant qu'un audit de vérification indépendant n'ait été effectué et qu'un certificat n'ait été délivré par un organisme de certification indépendant agréé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17209B4B" w14:textId="77777777" w:rsidR="000003B5" w:rsidRPr="00CF434F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En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outre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l'opérateur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économique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doit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s'assurer qu'aucun crédit n'est enregistré avant qu'une quantité équivalente de biomasse, de denrées alimentaires et d'aliments pour animaux durables n'ait été achetée, reçue et/ou enregistrée sur le compte de bilan de masse / crédit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. Pour ce faire, l'opérateur économique met en place, au minimum, un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système de suivi trimestriel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pour s'assurer que le solde du compte de crédit reste positif (il est possible de disposer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d'un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système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suivi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mensuel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s'il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est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plus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efficace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l'organisation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l'entreprise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  <w:p w14:paraId="58F23B60" w14:textId="77777777" w:rsidR="000003B5" w:rsidRPr="00CF434F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Lorsque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solde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est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continu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dans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le </w:t>
            </w:r>
            <w:proofErr w:type="spellStart"/>
            <w:proofErr w:type="gram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temps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,</w:t>
            </w:r>
            <w:proofErr w:type="gram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il ne doit pas se produire de « déficit », c'est-à-dire qu'à un moment donné, plus de matière durable a été retirée qu'elle n'a été ajoutée. </w:t>
            </w:r>
          </w:p>
          <w:p w14:paraId="5FDCB561" w14:textId="77777777" w:rsidR="000003B5" w:rsidRPr="00CF434F" w:rsidRDefault="000003B5" w:rsidP="00E679E1">
            <w:pPr>
              <w:ind w:right="42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De plus,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solde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ne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doit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pas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être « déficitaire » à la date de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clôture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31272C78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  <w:p w14:paraId="46E1D674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14:paraId="60ECF854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7DFFA6B2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3AB085A" w14:textId="77777777" w:rsidR="000003B5" w:rsidRPr="00CF434F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Solde massique / Compte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crédit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, et</w:t>
            </w:r>
          </w:p>
          <w:p w14:paraId="636C511D" w14:textId="77777777" w:rsidR="000003B5" w:rsidRPr="00CF434F" w:rsidRDefault="000003B5" w:rsidP="00E679E1">
            <w:pPr>
              <w:pStyle w:val="Paragraphedeliste"/>
              <w:spacing w:before="60" w:after="60"/>
              <w:ind w:left="72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  <w:p w14:paraId="4D70BF5E" w14:textId="77777777" w:rsidR="000003B5" w:rsidRPr="00CF434F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le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solde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fin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période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, et</w:t>
            </w:r>
          </w:p>
          <w:p w14:paraId="796A6052" w14:textId="77777777" w:rsidR="000003B5" w:rsidRPr="00CF434F" w:rsidRDefault="000003B5" w:rsidP="00E679E1">
            <w:pPr>
              <w:pStyle w:val="Paragraphedeliste"/>
              <w:spacing w:before="60" w:after="60"/>
              <w:ind w:left="72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  <w:p w14:paraId="00FE2E91" w14:textId="77777777" w:rsidR="000003B5" w:rsidRPr="00CF434F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proofErr w:type="spellStart"/>
            <w:proofErr w:type="gram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Vérificateur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:</w:t>
            </w:r>
            <w:proofErr w:type="gram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Entretien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avec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les membres du personnel</w:t>
            </w:r>
          </w:p>
        </w:tc>
        <w:tc>
          <w:tcPr>
            <w:tcW w:w="1701" w:type="dxa"/>
          </w:tcPr>
          <w:p w14:paraId="324D1F0F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I- 1.3.2 Besoins propres constatations</w:t>
            </w:r>
          </w:p>
          <w:p w14:paraId="53AD46A2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397BA56F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578656C2" w14:textId="77777777" w:rsidR="000003B5" w:rsidRPr="00CF434F" w:rsidRDefault="000003B5" w:rsidP="000003B5">
            <w:pPr>
              <w:pStyle w:val="Paragraphedeliste"/>
              <w:numPr>
                <w:ilvl w:val="0"/>
                <w:numId w:val="3"/>
              </w:numPr>
              <w:spacing w:before="60" w:after="60" w:line="240" w:lineRule="auto"/>
              <w:ind w:left="226" w:hanging="210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La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logique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périodes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sera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décrite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7BB3C99" w14:textId="77777777" w:rsidR="000003B5" w:rsidRPr="00CF434F" w:rsidRDefault="000003B5" w:rsidP="00E679E1">
            <w:pPr>
              <w:pStyle w:val="Paragraphedeliste"/>
              <w:spacing w:before="60" w:after="60"/>
              <w:ind w:left="226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  <w:p w14:paraId="4510978B" w14:textId="77777777" w:rsidR="000003B5" w:rsidRPr="00CF434F" w:rsidRDefault="000003B5" w:rsidP="000003B5">
            <w:pPr>
              <w:pStyle w:val="Paragraphedeliste"/>
              <w:numPr>
                <w:ilvl w:val="0"/>
                <w:numId w:val="3"/>
              </w:numPr>
              <w:spacing w:before="60" w:after="60" w:line="240" w:lineRule="auto"/>
              <w:ind w:left="226" w:hanging="210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quantités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restantes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à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l'issue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deux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périodes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minimales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doivent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être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déclarées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89280CC" w14:textId="77777777" w:rsidR="000003B5" w:rsidRPr="00CF434F" w:rsidRDefault="000003B5" w:rsidP="00E679E1">
            <w:pPr>
              <w:pStyle w:val="Paragraphedeliste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  <w:p w14:paraId="1763C8A9" w14:textId="77777777" w:rsidR="000003B5" w:rsidRPr="00CF434F" w:rsidRDefault="000003B5" w:rsidP="000003B5">
            <w:pPr>
              <w:pStyle w:val="Paragraphedeliste"/>
              <w:numPr>
                <w:ilvl w:val="0"/>
                <w:numId w:val="3"/>
              </w:numPr>
              <w:spacing w:before="60" w:after="60" w:line="240" w:lineRule="auto"/>
              <w:ind w:left="226" w:hanging="210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gram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Au</w:t>
            </w:r>
            <w:proofErr w:type="gram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moins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trois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exemples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lots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entrants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et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sortants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doivent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être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décrits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6A15B7DC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4819" w:type="dxa"/>
          </w:tcPr>
          <w:p w14:paraId="5E3B632A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27581FD8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7ACA7649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0003B5" w:rsidRPr="00CF434F" w14:paraId="659E3E6D" w14:textId="77777777" w:rsidTr="000003B5">
        <w:trPr>
          <w:cantSplit/>
          <w:trHeight w:val="404"/>
        </w:trPr>
        <w:tc>
          <w:tcPr>
            <w:tcW w:w="15588" w:type="dxa"/>
            <w:gridSpan w:val="10"/>
            <w:shd w:val="clear" w:color="auto" w:fill="F1A983" w:themeFill="accent2" w:themeFillTint="99"/>
            <w:vAlign w:val="center"/>
          </w:tcPr>
          <w:p w14:paraId="6A5BFA4D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Critère 1.4 – Allégations de durabilité</w:t>
            </w:r>
          </w:p>
        </w:tc>
      </w:tr>
      <w:tr w:rsidR="000003B5" w:rsidRPr="00CF434F" w14:paraId="02F8DD0D" w14:textId="77777777" w:rsidTr="00E679E1">
        <w:trPr>
          <w:cantSplit/>
        </w:trPr>
        <w:tc>
          <w:tcPr>
            <w:tcW w:w="846" w:type="dxa"/>
          </w:tcPr>
          <w:p w14:paraId="02CDCF5E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Std</w:t>
            </w:r>
          </w:p>
          <w:p w14:paraId="2C98EE9D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I- 1.4.1</w:t>
            </w:r>
          </w:p>
        </w:tc>
        <w:tc>
          <w:tcPr>
            <w:tcW w:w="3260" w:type="dxa"/>
          </w:tcPr>
          <w:p w14:paraId="0206CFFD" w14:textId="1630AAFA" w:rsidR="000003B5" w:rsidRPr="00CF434F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L'opérateur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7361C9" w:rsidRPr="00CF434F">
              <w:rPr>
                <w:rFonts w:asciiTheme="majorHAnsi" w:hAnsiTheme="majorHAnsi" w:cstheme="majorHAnsi"/>
                <w:sz w:val="18"/>
                <w:szCs w:val="18"/>
              </w:rPr>
              <w:t>économique</w:t>
            </w:r>
            <w:proofErr w:type="spellEnd"/>
            <w:r w:rsidR="007361C9"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361C9"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doit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faire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figurer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des 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déclarations</w:t>
            </w:r>
            <w:proofErr w:type="spellEnd"/>
            <w:proofErr w:type="gram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de durabilité précises, fiables et dignes de confiance sur les 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documents de vente, les documents promotionnels et autres 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communications pour la biomasse, les denrées alimentaires ou les aliments pour animaux annoncés et/ou vendus comme durables que conformément aux exigences de 2BS Xtra Food and Feed dans son intégralité. </w:t>
            </w:r>
          </w:p>
          <w:p w14:paraId="5A65C3F2" w14:textId="77777777" w:rsidR="000003B5" w:rsidRPr="00CF434F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déclarations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durabilité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 doivent être faites qu'après qu'un audit de certification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a été effectué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et qu'un certificat a été délivré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par un organisme de certification indépendant approuvé. </w:t>
            </w:r>
          </w:p>
        </w:tc>
        <w:tc>
          <w:tcPr>
            <w:tcW w:w="425" w:type="dxa"/>
            <w:vAlign w:val="center"/>
          </w:tcPr>
          <w:p w14:paraId="0D1B0D1C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  <w:p w14:paraId="61D2AEC1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  <w:p w14:paraId="6A871C2B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  <w:p w14:paraId="5C5099B3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  <w:p w14:paraId="1B256071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14:paraId="03F17E8F" w14:textId="77777777" w:rsidR="000003B5" w:rsidRPr="00CF434F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290ED91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CF6C7AA" w14:textId="77777777" w:rsidR="000003B5" w:rsidRPr="00CF434F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Documents de vente, ou</w:t>
            </w:r>
          </w:p>
          <w:p w14:paraId="5256A57D" w14:textId="77777777" w:rsidR="000003B5" w:rsidRPr="00CF434F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Des documents promotionnels, ou</w:t>
            </w:r>
          </w:p>
          <w:p w14:paraId="6117996E" w14:textId="77777777" w:rsidR="000003B5" w:rsidRPr="00CF434F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Autres communications</w:t>
            </w:r>
          </w:p>
          <w:p w14:paraId="6165F5D0" w14:textId="77777777" w:rsidR="000003B5" w:rsidRPr="00CF434F" w:rsidRDefault="000003B5" w:rsidP="00E679E1">
            <w:pPr>
              <w:pStyle w:val="Paragraphedeliste"/>
              <w:spacing w:before="60" w:after="60"/>
              <w:ind w:left="7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1F941923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I- 1.4.1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nécessite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constatations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précises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0F950EC3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4819" w:type="dxa"/>
          </w:tcPr>
          <w:p w14:paraId="64640769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6C7D264D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18334C0A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</w:tbl>
    <w:p w14:paraId="2CFD4C69" w14:textId="77777777" w:rsidR="000003B5" w:rsidRPr="00CF434F" w:rsidRDefault="000003B5" w:rsidP="000003B5">
      <w:pPr>
        <w:rPr>
          <w:sz w:val="18"/>
          <w:szCs w:val="18"/>
        </w:rPr>
      </w:pPr>
    </w:p>
    <w:tbl>
      <w:tblPr>
        <w:tblStyle w:val="Grilledutableau"/>
        <w:tblW w:w="157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79"/>
        <w:gridCol w:w="3231"/>
        <w:gridCol w:w="425"/>
        <w:gridCol w:w="425"/>
        <w:gridCol w:w="426"/>
        <w:gridCol w:w="2268"/>
        <w:gridCol w:w="1701"/>
        <w:gridCol w:w="4876"/>
        <w:gridCol w:w="738"/>
        <w:gridCol w:w="794"/>
      </w:tblGrid>
      <w:tr w:rsidR="000003B5" w:rsidRPr="00CF434F" w14:paraId="0E989B7E" w14:textId="77777777" w:rsidTr="000003B5">
        <w:trPr>
          <w:trHeight w:val="288"/>
        </w:trPr>
        <w:tc>
          <w:tcPr>
            <w:tcW w:w="15763" w:type="dxa"/>
            <w:gridSpan w:val="10"/>
            <w:shd w:val="clear" w:color="auto" w:fill="80340D" w:themeFill="accent2" w:themeFillShade="80"/>
            <w:vAlign w:val="center"/>
          </w:tcPr>
          <w:p w14:paraId="305D83DE" w14:textId="77777777" w:rsidR="000003B5" w:rsidRPr="00CF434F" w:rsidRDefault="000003B5" w:rsidP="00E679E1">
            <w:pPr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val="fr-FR" w:eastAsia="en-US"/>
              </w:rPr>
            </w:pPr>
            <w:r w:rsidRPr="00CF434F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br w:type="page"/>
            </w:r>
            <w:r w:rsidRPr="00CF434F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br w:type="page"/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Principe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2 :</w:t>
            </w:r>
            <w:proofErr w:type="gram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Émissions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de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gaz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à effet de serre – Cette exigence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est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facultative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si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elle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sort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du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champ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d'application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sélectionné</w:t>
            </w:r>
            <w:proofErr w:type="spellEnd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 xml:space="preserve"> par le </w:t>
            </w:r>
            <w:proofErr w:type="spellStart"/>
            <w:r w:rsidRPr="00CF434F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eastAsia="en-US"/>
              </w:rPr>
              <w:t>client</w:t>
            </w:r>
            <w:proofErr w:type="spellEnd"/>
          </w:p>
        </w:tc>
      </w:tr>
      <w:tr w:rsidR="000003B5" w:rsidRPr="00CF434F" w14:paraId="6989CCF5" w14:textId="77777777" w:rsidTr="000003B5">
        <w:trPr>
          <w:trHeight w:val="348"/>
        </w:trPr>
        <w:tc>
          <w:tcPr>
            <w:tcW w:w="15763" w:type="dxa"/>
            <w:gridSpan w:val="10"/>
            <w:shd w:val="clear" w:color="auto" w:fill="F1A983" w:themeFill="accent2" w:themeFillTint="99"/>
            <w:vAlign w:val="center"/>
          </w:tcPr>
          <w:p w14:paraId="0F91DAF6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Critère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2.1 –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Calcul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volontaire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émissions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de GES</w:t>
            </w:r>
          </w:p>
        </w:tc>
      </w:tr>
      <w:tr w:rsidR="000003B5" w:rsidRPr="00CF434F" w14:paraId="143EB518" w14:textId="77777777" w:rsidTr="00E679E1">
        <w:trPr>
          <w:cantSplit/>
        </w:trPr>
        <w:tc>
          <w:tcPr>
            <w:tcW w:w="879" w:type="dxa"/>
          </w:tcPr>
          <w:p w14:paraId="6688B8AE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Std</w:t>
            </w:r>
          </w:p>
          <w:p w14:paraId="2621D7B6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gram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 :</w:t>
            </w:r>
            <w:proofErr w:type="gram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2.1.1</w:t>
            </w:r>
          </w:p>
        </w:tc>
        <w:tc>
          <w:tcPr>
            <w:tcW w:w="3231" w:type="dxa"/>
          </w:tcPr>
          <w:p w14:paraId="7B5D1530" w14:textId="48F3C921" w:rsidR="000003B5" w:rsidRPr="00CF434F" w:rsidRDefault="000003B5" w:rsidP="00E679E1">
            <w:pPr>
              <w:spacing w:before="60" w:after="60"/>
              <w:jc w:val="both"/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L'opérateur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7361C9" w:rsidRPr="00CF434F">
              <w:rPr>
                <w:rFonts w:asciiTheme="majorHAnsi" w:hAnsiTheme="majorHAnsi" w:cstheme="majorHAnsi"/>
                <w:sz w:val="18"/>
                <w:szCs w:val="18"/>
              </w:rPr>
              <w:t>économique</w:t>
            </w:r>
            <w:proofErr w:type="spellEnd"/>
            <w:r w:rsidR="007361C9"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7361C9"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doit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disposer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d'une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méthode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calcul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émissions</w:t>
            </w:r>
            <w:proofErr w:type="spellEnd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 </w:t>
            </w:r>
            <w:r w:rsidR="00F4300A"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GES </w:t>
            </w:r>
            <w:proofErr w:type="spellStart"/>
            <w:r w:rsidR="00F4300A" w:rsidRPr="00CF434F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à la norme 2BS</w:t>
            </w:r>
            <w:r w:rsidR="00B7112D"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-ADD-03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chaque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produit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certifié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à </w:t>
            </w:r>
            <w:proofErr w:type="spellStart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une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moyenne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un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groupe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produits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similaires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.</w:t>
            </w:r>
          </w:p>
          <w:p w14:paraId="3D02DBDB" w14:textId="77777777" w:rsidR="000003B5" w:rsidRPr="00CF434F" w:rsidRDefault="000003B5" w:rsidP="00E679E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31B93F7E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2AC5A3EF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7B2ED586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268" w:type="dxa"/>
          </w:tcPr>
          <w:p w14:paraId="4EC25D61" w14:textId="77777777" w:rsidR="000003B5" w:rsidRPr="00CF434F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Ensemble de procédures documentées pour le calcul des GES, ou </w:t>
            </w:r>
          </w:p>
          <w:p w14:paraId="11853B11" w14:textId="77777777" w:rsidR="000003B5" w:rsidRPr="00CF434F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Ensemble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d'instructions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travail</w:t>
            </w:r>
            <w:proofErr w:type="spellEnd"/>
          </w:p>
          <w:p w14:paraId="3F37B313" w14:textId="77777777" w:rsidR="000003B5" w:rsidRPr="00CF434F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Chaque type de produit est identifié séparément.</w:t>
            </w:r>
          </w:p>
        </w:tc>
        <w:tc>
          <w:tcPr>
            <w:tcW w:w="1701" w:type="dxa"/>
          </w:tcPr>
          <w:p w14:paraId="56DDA6B5" w14:textId="77777777" w:rsidR="000003B5" w:rsidRPr="00CF434F" w:rsidRDefault="000003B5" w:rsidP="00E679E1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I- 2.1.1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nécessite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constatations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précises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876" w:type="dxa"/>
          </w:tcPr>
          <w:p w14:paraId="1051608C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DÉCRIRE LES PREUVES VUES (OU MANQUANTES)</w:t>
            </w:r>
          </w:p>
        </w:tc>
        <w:tc>
          <w:tcPr>
            <w:tcW w:w="738" w:type="dxa"/>
          </w:tcPr>
          <w:p w14:paraId="1CF198D4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94" w:type="dxa"/>
          </w:tcPr>
          <w:p w14:paraId="7B80B8CE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0003B5" w:rsidRPr="00CF434F" w14:paraId="1786C471" w14:textId="77777777" w:rsidTr="000003B5">
        <w:trPr>
          <w:trHeight w:val="348"/>
        </w:trPr>
        <w:tc>
          <w:tcPr>
            <w:tcW w:w="15763" w:type="dxa"/>
            <w:gridSpan w:val="10"/>
            <w:shd w:val="clear" w:color="auto" w:fill="F1A983" w:themeFill="accent2" w:themeFillTint="99"/>
            <w:vAlign w:val="center"/>
          </w:tcPr>
          <w:p w14:paraId="44B60FBE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fr-FR"/>
              </w:rPr>
            </w:pP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Critère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2.2 –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Calcul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volontaire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économies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de GES</w:t>
            </w:r>
          </w:p>
        </w:tc>
      </w:tr>
      <w:tr w:rsidR="000003B5" w:rsidRPr="00CF434F" w14:paraId="76726C2F" w14:textId="77777777" w:rsidTr="000B1D33">
        <w:trPr>
          <w:trHeight w:val="699"/>
        </w:trPr>
        <w:tc>
          <w:tcPr>
            <w:tcW w:w="879" w:type="dxa"/>
          </w:tcPr>
          <w:p w14:paraId="282AE36A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Xtra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Std </w:t>
            </w:r>
          </w:p>
          <w:p w14:paraId="10633479" w14:textId="7777777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I :</w:t>
            </w:r>
            <w:proofErr w:type="gram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2.2.1</w:t>
            </w:r>
          </w:p>
        </w:tc>
        <w:tc>
          <w:tcPr>
            <w:tcW w:w="3231" w:type="dxa"/>
          </w:tcPr>
          <w:p w14:paraId="48E0CD10" w14:textId="4ED263D7" w:rsidR="000003B5" w:rsidRPr="00CF434F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L'opérateur économique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doit </w:t>
            </w: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disposer d'une méthodologie documentée de </w:t>
            </w: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calcul des </w:t>
            </w:r>
            <w:proofErr w:type="spellStart"/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émissions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r w:rsidR="00F4300A"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GES </w:t>
            </w:r>
            <w:proofErr w:type="spellStart"/>
            <w:r w:rsidR="00F4300A" w:rsidRPr="00CF434F">
              <w:rPr>
                <w:rFonts w:asciiTheme="majorHAnsi" w:hAnsiTheme="majorHAnsi" w:cstheme="majorHAnsi"/>
                <w:sz w:val="18"/>
                <w:szCs w:val="18"/>
              </w:rPr>
              <w:t>conformément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à  la</w:t>
            </w:r>
            <w:proofErr w:type="gram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norme 2BS</w:t>
            </w:r>
            <w:r w:rsidR="00B7112D"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-ADD-03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pour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chaque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produit</w:t>
            </w:r>
            <w:proofErr w:type="spellEnd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/>
                <w:sz w:val="18"/>
                <w:szCs w:val="18"/>
              </w:rPr>
              <w:t>certifié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ou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une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>moyenne</w:t>
            </w:r>
            <w:proofErr w:type="spellEnd"/>
            <w:r w:rsidRPr="00CF4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de produits certifiés. </w:t>
            </w:r>
          </w:p>
        </w:tc>
        <w:tc>
          <w:tcPr>
            <w:tcW w:w="425" w:type="dxa"/>
            <w:vAlign w:val="center"/>
          </w:tcPr>
          <w:p w14:paraId="7327C71C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580E7761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3E06A7F8" w14:textId="77777777" w:rsidR="000003B5" w:rsidRPr="00CF434F" w:rsidRDefault="000003B5" w:rsidP="00E679E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CF43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268" w:type="dxa"/>
          </w:tcPr>
          <w:p w14:paraId="2066A5DE" w14:textId="77777777" w:rsidR="000003B5" w:rsidRPr="00CF434F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Ensemble de procédures documentées pour le calcul des économies de GES, ou </w:t>
            </w:r>
          </w:p>
          <w:p w14:paraId="1CF60826" w14:textId="77777777" w:rsidR="000003B5" w:rsidRPr="00CF434F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Ensemble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d'instructions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travail</w:t>
            </w:r>
            <w:proofErr w:type="spellEnd"/>
          </w:p>
          <w:p w14:paraId="25A34CC2" w14:textId="77777777" w:rsidR="000003B5" w:rsidRPr="00CF434F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Chaque type de produit est identifié séparément</w:t>
            </w:r>
          </w:p>
        </w:tc>
        <w:tc>
          <w:tcPr>
            <w:tcW w:w="1701" w:type="dxa"/>
          </w:tcPr>
          <w:p w14:paraId="04C475BD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I- 2.2.1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nécessite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des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constatations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précises</w:t>
            </w:r>
            <w:proofErr w:type="spellEnd"/>
            <w:r w:rsidRPr="00CF43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876" w:type="dxa"/>
          </w:tcPr>
          <w:p w14:paraId="7FE57D2B" w14:textId="77777777" w:rsidR="000003B5" w:rsidRPr="00CF434F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CF434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DÉCRIRE LES PREUVES VUES (OU MANQUANTES)</w:t>
            </w:r>
          </w:p>
        </w:tc>
        <w:tc>
          <w:tcPr>
            <w:tcW w:w="738" w:type="dxa"/>
          </w:tcPr>
          <w:p w14:paraId="21FFCC97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94" w:type="dxa"/>
          </w:tcPr>
          <w:p w14:paraId="6D587AF8" w14:textId="77777777" w:rsidR="000003B5" w:rsidRPr="00CF434F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</w:tbl>
    <w:p w14:paraId="02FB0C39" w14:textId="76EF42BB" w:rsidR="00CF03D7" w:rsidRPr="000B1D33" w:rsidRDefault="00CF03D7">
      <w:pPr>
        <w:rPr>
          <w:sz w:val="18"/>
          <w:szCs w:val="18"/>
        </w:rPr>
      </w:pPr>
    </w:p>
    <w:sectPr w:rsidR="00CF03D7" w:rsidRPr="000B1D33" w:rsidSect="000003B5">
      <w:footerReference w:type="default" r:id="rId10"/>
      <w:headerReference w:type="first" r:id="rId11"/>
      <w:footerReference w:type="first" r:id="rId12"/>
      <w:pgSz w:w="16838" w:h="11906" w:orient="landscape"/>
      <w:pgMar w:top="454" w:right="340" w:bottom="340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FACB" w14:textId="77777777" w:rsidR="000E16F2" w:rsidRDefault="000E16F2" w:rsidP="005D3ED0">
      <w:pPr>
        <w:spacing w:after="0" w:line="240" w:lineRule="auto"/>
      </w:pPr>
      <w:r>
        <w:separator/>
      </w:r>
    </w:p>
  </w:endnote>
  <w:endnote w:type="continuationSeparator" w:id="0">
    <w:p w14:paraId="4B19BF04" w14:textId="77777777" w:rsidR="000E16F2" w:rsidRDefault="000E16F2" w:rsidP="005D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777626"/>
      <w:docPartObj>
        <w:docPartGallery w:val="Page Numbers (Bottom of Page)"/>
        <w:docPartUnique/>
      </w:docPartObj>
    </w:sdtPr>
    <w:sdtContent>
      <w:p w14:paraId="24D1C32A" w14:textId="5A847458" w:rsidR="00EE46C6" w:rsidRDefault="00EE46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148C7" w14:textId="77777777" w:rsidR="00EE46C6" w:rsidRDefault="00EE46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D5220" w14:textId="77777777" w:rsidR="00A13F9A" w:rsidRPr="00190B10" w:rsidRDefault="00754F7F" w:rsidP="00190B10">
    <w:pPr>
      <w:pStyle w:val="Pieddepage"/>
    </w:pPr>
    <w:r w:rsidRPr="000219F0">
      <w:rPr>
        <w:rFonts w:ascii="Times New Roman" w:eastAsia="Times New Roman" w:hAnsi="Times New Roman" w:cs="Arial"/>
        <w:b/>
        <w:bCs/>
        <w:sz w:val="18"/>
        <w:szCs w:val="18"/>
      </w:rPr>
      <w:t xml:space="preserve">© Association 2BS          </w:t>
    </w:r>
    <w:proofErr w:type="spellStart"/>
    <w:r w:rsidRPr="00125969">
      <w:rPr>
        <w:rFonts w:ascii="Times New Roman" w:eastAsia="Times New Roman" w:hAnsi="Times New Roman" w:cs="Arial"/>
        <w:sz w:val="18"/>
        <w:szCs w:val="18"/>
      </w:rPr>
      <w:t>2BS</w:t>
    </w:r>
    <w:proofErr w:type="spellEnd"/>
    <w:r w:rsidRPr="00125969">
      <w:rPr>
        <w:rFonts w:ascii="Times New Roman" w:eastAsia="Times New Roman" w:hAnsi="Times New Roman" w:cs="Arial"/>
        <w:sz w:val="18"/>
        <w:szCs w:val="18"/>
      </w:rPr>
      <w:t xml:space="preserve"> </w:t>
    </w:r>
    <w:proofErr w:type="spellStart"/>
    <w:r w:rsidRPr="00125969">
      <w:rPr>
        <w:rFonts w:ascii="Times New Roman" w:eastAsia="Times New Roman" w:hAnsi="Times New Roman" w:cs="Arial"/>
        <w:sz w:val="18"/>
        <w:szCs w:val="18"/>
      </w:rPr>
      <w:t>Xtra</w:t>
    </w:r>
    <w:proofErr w:type="spellEnd"/>
    <w:r w:rsidRPr="00125969">
      <w:rPr>
        <w:rFonts w:ascii="Times New Roman" w:eastAsia="Times New Roman" w:hAnsi="Times New Roman" w:cs="Arial"/>
        <w:sz w:val="18"/>
        <w:szCs w:val="18"/>
      </w:rPr>
      <w:t xml:space="preserve"> report version 1 (en) </w:t>
    </w:r>
    <w:r>
      <w:tab/>
    </w:r>
    <w:r>
      <w:tab/>
    </w:r>
    <w:r>
      <w:tab/>
    </w:r>
    <w:r>
      <w:tab/>
      <w:t xml:space="preserve">                                                                                                  </w:t>
    </w:r>
    <w:r w:rsidRPr="000219F0">
      <w:rPr>
        <w:rFonts w:ascii="Times New Roman" w:hAnsi="Times New Roman"/>
        <w:sz w:val="18"/>
        <w:szCs w:val="18"/>
      </w:rPr>
      <w:t xml:space="preserve">Page </w:t>
    </w:r>
    <w:r w:rsidRPr="000219F0">
      <w:rPr>
        <w:rFonts w:ascii="Times New Roman" w:hAnsi="Times New Roman"/>
        <w:sz w:val="18"/>
        <w:szCs w:val="18"/>
      </w:rPr>
      <w:fldChar w:fldCharType="begin"/>
    </w:r>
    <w:r w:rsidRPr="000219F0">
      <w:rPr>
        <w:rFonts w:ascii="Times New Roman" w:hAnsi="Times New Roman"/>
        <w:sz w:val="18"/>
        <w:szCs w:val="18"/>
      </w:rPr>
      <w:instrText xml:space="preserve"> PAGE </w:instrText>
    </w:r>
    <w:r w:rsidRPr="000219F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</w:rPr>
      <w:t>17</w:t>
    </w:r>
    <w:r w:rsidRPr="000219F0">
      <w:rPr>
        <w:rFonts w:ascii="Times New Roman" w:hAnsi="Times New Roman"/>
        <w:sz w:val="18"/>
        <w:szCs w:val="18"/>
      </w:rPr>
      <w:fldChar w:fldCharType="end"/>
    </w:r>
    <w:r w:rsidRPr="000219F0">
      <w:rPr>
        <w:rFonts w:ascii="Times New Roman" w:hAnsi="Times New Roman"/>
        <w:sz w:val="18"/>
        <w:szCs w:val="18"/>
      </w:rPr>
      <w:t xml:space="preserve"> de </w:t>
    </w:r>
    <w:r w:rsidRPr="000219F0">
      <w:rPr>
        <w:rFonts w:ascii="Times New Roman" w:hAnsi="Times New Roman"/>
        <w:sz w:val="18"/>
        <w:szCs w:val="18"/>
      </w:rPr>
      <w:fldChar w:fldCharType="begin"/>
    </w:r>
    <w:r w:rsidRPr="000219F0">
      <w:rPr>
        <w:rFonts w:ascii="Times New Roman" w:hAnsi="Times New Roman"/>
        <w:sz w:val="18"/>
        <w:szCs w:val="18"/>
      </w:rPr>
      <w:instrText xml:space="preserve"> NUMPAGES </w:instrText>
    </w:r>
    <w:r w:rsidRPr="000219F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</w:rPr>
      <w:t>20</w:t>
    </w:r>
    <w:r w:rsidRPr="000219F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932FC" w14:textId="77777777" w:rsidR="000E16F2" w:rsidRDefault="000E16F2" w:rsidP="005D3ED0">
      <w:pPr>
        <w:spacing w:after="0" w:line="240" w:lineRule="auto"/>
      </w:pPr>
      <w:r>
        <w:separator/>
      </w:r>
    </w:p>
  </w:footnote>
  <w:footnote w:type="continuationSeparator" w:id="0">
    <w:p w14:paraId="17DE0EC3" w14:textId="77777777" w:rsidR="000E16F2" w:rsidRDefault="000E16F2" w:rsidP="005D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27FE" w14:textId="77777777" w:rsidR="005D3ED0" w:rsidRDefault="005D3ED0">
    <w:pPr>
      <w:pStyle w:val="En-tte"/>
    </w:pPr>
  </w:p>
  <w:tbl>
    <w:tblPr>
      <w:tblW w:w="1559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10982"/>
      <w:gridCol w:w="2977"/>
    </w:tblGrid>
    <w:tr w:rsidR="00586603" w:rsidRPr="00282961" w14:paraId="76FC6246" w14:textId="77777777" w:rsidTr="00E679E1">
      <w:trPr>
        <w:trHeight w:val="1692"/>
      </w:trPr>
      <w:tc>
        <w:tcPr>
          <w:tcW w:w="1634" w:type="dxa"/>
        </w:tcPr>
        <w:p w14:paraId="4A11417D" w14:textId="77777777" w:rsidR="00586603" w:rsidRPr="00282961" w:rsidRDefault="00586603" w:rsidP="00586603">
          <w:pPr>
            <w:pStyle w:val="En-tte"/>
            <w:ind w:left="72"/>
            <w:jc w:val="center"/>
            <w:rPr>
              <w:lang w:val="en-GB"/>
            </w:rPr>
          </w:pPr>
          <w:r w:rsidRPr="00263801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B61C029" wp14:editId="0015BE97">
                <wp:simplePos x="0" y="0"/>
                <wp:positionH relativeFrom="column">
                  <wp:posOffset>94615</wp:posOffset>
                </wp:positionH>
                <wp:positionV relativeFrom="paragraph">
                  <wp:posOffset>193040</wp:posOffset>
                </wp:positionV>
                <wp:extent cx="763270" cy="6858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025" y="21000"/>
                    <wp:lineTo x="21025" y="0"/>
                    <wp:lineTo x="0" y="0"/>
                  </wp:wrapPolygon>
                </wp:wrapTight>
                <wp:docPr id="1" name="Picture 3" descr="Une image contenant texte, Police, logo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Une image contenant texte, Police, logo, Graphiqu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82" w:type="dxa"/>
        </w:tcPr>
        <w:p w14:paraId="130A304E" w14:textId="77777777" w:rsidR="00586603" w:rsidRDefault="00586603" w:rsidP="00586603">
          <w:pPr>
            <w:shd w:val="clear" w:color="auto" w:fill="FFFFFF"/>
            <w:tabs>
              <w:tab w:val="left" w:pos="1916"/>
            </w:tabs>
            <w:spacing w:before="120" w:after="120"/>
            <w:ind w:left="284" w:right="284"/>
            <w:jc w:val="center"/>
            <w:rPr>
              <w:rFonts w:ascii="Times New Roman" w:hAnsi="Times New Roman" w:cs="Times New Roman"/>
              <w:b/>
              <w:sz w:val="24"/>
              <w:lang w:val="en-GB"/>
            </w:rPr>
          </w:pPr>
        </w:p>
        <w:p w14:paraId="186F6A90" w14:textId="77777777" w:rsidR="00586603" w:rsidRPr="00DD33E7" w:rsidRDefault="00586603" w:rsidP="00586603">
          <w:pPr>
            <w:shd w:val="clear" w:color="auto" w:fill="FFFFFF"/>
            <w:tabs>
              <w:tab w:val="left" w:pos="1916"/>
            </w:tabs>
            <w:spacing w:before="120" w:after="120"/>
            <w:ind w:left="284" w:right="284"/>
            <w:jc w:val="center"/>
            <w:rPr>
              <w:b/>
              <w:bCs/>
              <w:sz w:val="23"/>
              <w:szCs w:val="23"/>
            </w:rPr>
          </w:pPr>
          <w:r w:rsidRPr="00586603">
            <w:rPr>
              <w:b/>
              <w:bCs/>
              <w:sz w:val="23"/>
              <w:szCs w:val="23"/>
            </w:rPr>
            <w:t xml:space="preserve">Liste de contrôle </w:t>
          </w:r>
        </w:p>
        <w:p w14:paraId="5A887FF7" w14:textId="0390FCF7" w:rsidR="00586603" w:rsidRPr="00DD33E7" w:rsidRDefault="00586603" w:rsidP="00586603">
          <w:pPr>
            <w:shd w:val="clear" w:color="auto" w:fill="FFFFFF"/>
            <w:tabs>
              <w:tab w:val="left" w:pos="1916"/>
            </w:tabs>
            <w:spacing w:before="120" w:after="120"/>
            <w:ind w:left="284" w:right="28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75B9C">
            <w:rPr>
              <w:sz w:val="23"/>
              <w:szCs w:val="23"/>
            </w:rPr>
            <w:t>Collecte, production et commerce</w:t>
          </w:r>
          <w:r w:rsidRPr="00875B9C">
            <w:rPr>
              <w:b/>
              <w:bCs/>
              <w:sz w:val="23"/>
              <w:szCs w:val="23"/>
            </w:rPr>
            <w:t xml:space="preserve"> d</w:t>
          </w:r>
          <w:r w:rsidR="003D108E">
            <w:rPr>
              <w:b/>
              <w:bCs/>
              <w:sz w:val="23"/>
              <w:szCs w:val="23"/>
            </w:rPr>
            <w:t xml:space="preserve">’alimentation humaine et animale </w:t>
          </w:r>
        </w:p>
      </w:tc>
      <w:tc>
        <w:tcPr>
          <w:tcW w:w="2977" w:type="dxa"/>
        </w:tcPr>
        <w:p w14:paraId="41A21194" w14:textId="77777777" w:rsidR="00586603" w:rsidRPr="00DD33E7" w:rsidRDefault="00586603" w:rsidP="00586603">
          <w:pPr>
            <w:pStyle w:val="En-tte"/>
            <w:rPr>
              <w:rFonts w:asciiTheme="majorHAnsi" w:hAnsiTheme="majorHAnsi" w:cstheme="majorHAnsi"/>
              <w:sz w:val="8"/>
            </w:rPr>
          </w:pPr>
        </w:p>
        <w:p w14:paraId="0189355C" w14:textId="27389515" w:rsidR="00586603" w:rsidRPr="00AF4959" w:rsidRDefault="00586603" w:rsidP="00586603">
          <w:pPr>
            <w:pStyle w:val="En-tte"/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</w:pPr>
          <w:r w:rsidRPr="00DD33E7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 xml:space="preserve">2BS </w:t>
          </w:r>
          <w:proofErr w:type="spellStart"/>
          <w:r w:rsidRPr="00DD33E7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>Xtra</w:t>
          </w:r>
          <w:proofErr w:type="spellEnd"/>
          <w:r w:rsidRPr="00DD33E7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 xml:space="preserve"> Food &amp; Feed v</w:t>
          </w:r>
          <w:r w:rsidR="00F80D81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>0.1</w:t>
          </w:r>
          <w:r w:rsidRPr="00DD33E7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 xml:space="preserve"> (</w:t>
          </w:r>
          <w:proofErr w:type="spellStart"/>
          <w:r w:rsidRPr="00DD33E7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>fr</w:t>
          </w:r>
          <w:proofErr w:type="spellEnd"/>
          <w:r w:rsidRPr="00DD33E7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>)</w:t>
          </w:r>
        </w:p>
        <w:p w14:paraId="07D0AEB1" w14:textId="77777777" w:rsidR="00586603" w:rsidRPr="00AF4959" w:rsidRDefault="00586603" w:rsidP="00586603">
          <w:pPr>
            <w:pStyle w:val="En-tte"/>
            <w:rPr>
              <w:rFonts w:asciiTheme="majorHAnsi" w:hAnsiTheme="majorHAnsi" w:cstheme="majorHAnsi"/>
              <w:sz w:val="16"/>
              <w:szCs w:val="16"/>
              <w:lang w:val="en-GB"/>
            </w:rPr>
          </w:pPr>
        </w:p>
        <w:p w14:paraId="6BCA6C7A" w14:textId="77777777" w:rsidR="00586603" w:rsidRPr="00DD33E7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</w:rPr>
          </w:pPr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</w:rPr>
            <w:t xml:space="preserve">Numéro de dossier : </w:t>
          </w:r>
        </w:p>
        <w:p w14:paraId="4FB08828" w14:textId="77777777" w:rsidR="00586603" w:rsidRPr="00DD33E7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</w:rPr>
          </w:pPr>
          <w:proofErr w:type="gramStart"/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</w:rPr>
            <w:t>Client:</w:t>
          </w:r>
          <w:proofErr w:type="gramEnd"/>
        </w:p>
        <w:p w14:paraId="4264441E" w14:textId="77777777" w:rsidR="00586603" w:rsidRPr="00DD33E7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</w:rPr>
          </w:pPr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</w:rPr>
            <w:t>Nom de l'auditeur :</w:t>
          </w:r>
        </w:p>
        <w:p w14:paraId="1B9607B8" w14:textId="77777777" w:rsidR="00586603" w:rsidRPr="00DD33E7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</w:rPr>
          </w:pPr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</w:rPr>
            <w:t>Date de l'audit :</w:t>
          </w:r>
        </w:p>
        <w:p w14:paraId="65B2E8FF" w14:textId="77777777" w:rsidR="00586603" w:rsidRPr="00DD33E7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</w:rPr>
          </w:pPr>
          <w:proofErr w:type="gramStart"/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</w:rPr>
            <w:t>Site:</w:t>
          </w:r>
          <w:proofErr w:type="gramEnd"/>
        </w:p>
        <w:p w14:paraId="1BA15F99" w14:textId="77777777" w:rsidR="00586603" w:rsidRPr="00DD33E7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</w:rPr>
          </w:pPr>
          <w:proofErr w:type="gramStart"/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</w:rPr>
            <w:t>Pays:</w:t>
          </w:r>
          <w:proofErr w:type="gramEnd"/>
        </w:p>
        <w:p w14:paraId="18DD25B5" w14:textId="77777777" w:rsidR="00586603" w:rsidRPr="00DD33E7" w:rsidRDefault="00586603" w:rsidP="00586603">
          <w:pPr>
            <w:pStyle w:val="En-tte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tbl>
    <w:tblPr>
      <w:tblStyle w:val="Grilledutableau"/>
      <w:tblW w:w="15593" w:type="dxa"/>
      <w:tblInd w:w="137" w:type="dxa"/>
      <w:tblLayout w:type="fixed"/>
      <w:tblLook w:val="04A0" w:firstRow="1" w:lastRow="0" w:firstColumn="1" w:lastColumn="0" w:noHBand="0" w:noVBand="1"/>
    </w:tblPr>
    <w:tblGrid>
      <w:gridCol w:w="847"/>
      <w:gridCol w:w="3234"/>
      <w:gridCol w:w="423"/>
      <w:gridCol w:w="423"/>
      <w:gridCol w:w="425"/>
      <w:gridCol w:w="2268"/>
      <w:gridCol w:w="1701"/>
      <w:gridCol w:w="4876"/>
      <w:gridCol w:w="737"/>
      <w:gridCol w:w="659"/>
    </w:tblGrid>
    <w:tr w:rsidR="00586603" w:rsidRPr="00AF4959" w14:paraId="0D979151" w14:textId="77777777" w:rsidTr="000B1D33">
      <w:trPr>
        <w:cantSplit/>
        <w:trHeight w:val="333"/>
        <w:tblHeader/>
      </w:trPr>
      <w:tc>
        <w:tcPr>
          <w:tcW w:w="5352" w:type="dxa"/>
          <w:gridSpan w:val="5"/>
          <w:tcBorders>
            <w:top w:val="nil"/>
          </w:tcBorders>
          <w:shd w:val="clear" w:color="auto" w:fill="F1A983" w:themeFill="accent2" w:themeFillTint="99"/>
          <w:vAlign w:val="center"/>
        </w:tcPr>
        <w:p w14:paraId="4B53093F" w14:textId="1BA3BD7E" w:rsidR="00586603" w:rsidRPr="00730781" w:rsidRDefault="00586603" w:rsidP="00586603">
          <w:pPr>
            <w:jc w:val="center"/>
            <w:rPr>
              <w:rFonts w:asciiTheme="majorHAnsi" w:hAnsiTheme="majorHAnsi" w:cstheme="majorHAnsi"/>
              <w:b/>
              <w:bCs/>
              <w:sz w:val="20"/>
              <w:szCs w:val="28"/>
              <w:lang w:val="en-GB"/>
            </w:rPr>
          </w:pPr>
          <w:r w:rsidRPr="00730781">
            <w:rPr>
              <w:b/>
              <w:bCs/>
              <w:sz w:val="20"/>
              <w:szCs w:val="20"/>
            </w:rPr>
            <w:t xml:space="preserve">2BSXtra </w:t>
          </w:r>
          <w:proofErr w:type="spellStart"/>
          <w:r w:rsidR="00DD33E7">
            <w:rPr>
              <w:b/>
              <w:bCs/>
              <w:sz w:val="20"/>
              <w:szCs w:val="20"/>
            </w:rPr>
            <w:t>exigences</w:t>
          </w:r>
          <w:proofErr w:type="spellEnd"/>
        </w:p>
      </w:tc>
      <w:tc>
        <w:tcPr>
          <w:tcW w:w="3969" w:type="dxa"/>
          <w:gridSpan w:val="2"/>
          <w:tcBorders>
            <w:top w:val="nil"/>
          </w:tcBorders>
          <w:shd w:val="clear" w:color="auto" w:fill="F1A983" w:themeFill="accent2" w:themeFillTint="99"/>
          <w:vAlign w:val="center"/>
        </w:tcPr>
        <w:p w14:paraId="4B968C6E" w14:textId="274933BE" w:rsidR="00586603" w:rsidRPr="00730781" w:rsidRDefault="00FF2E5B" w:rsidP="00586603">
          <w:pPr>
            <w:jc w:val="center"/>
            <w:rPr>
              <w:rFonts w:asciiTheme="majorHAnsi" w:hAnsiTheme="majorHAnsi" w:cstheme="majorHAnsi"/>
              <w:b/>
              <w:bCs/>
              <w:sz w:val="20"/>
              <w:szCs w:val="28"/>
              <w:lang w:val="en-GB"/>
            </w:rPr>
          </w:pPr>
          <w:r>
            <w:rPr>
              <w:b/>
              <w:bCs/>
              <w:sz w:val="20"/>
              <w:szCs w:val="20"/>
            </w:rPr>
            <w:t>Orientation</w:t>
          </w:r>
          <w:r w:rsidR="00586603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="00586603">
            <w:rPr>
              <w:b/>
              <w:bCs/>
              <w:sz w:val="20"/>
              <w:szCs w:val="20"/>
            </w:rPr>
            <w:t>d'audit</w:t>
          </w:r>
          <w:proofErr w:type="spellEnd"/>
        </w:p>
      </w:tc>
      <w:tc>
        <w:tcPr>
          <w:tcW w:w="4876" w:type="dxa"/>
          <w:tcBorders>
            <w:top w:val="nil"/>
          </w:tcBorders>
          <w:shd w:val="clear" w:color="auto" w:fill="F1A983" w:themeFill="accent2" w:themeFillTint="99"/>
          <w:vAlign w:val="center"/>
        </w:tcPr>
        <w:p w14:paraId="699629EE" w14:textId="5847643A" w:rsidR="00586603" w:rsidRPr="00730781" w:rsidRDefault="00586603" w:rsidP="00586603">
          <w:pPr>
            <w:jc w:val="center"/>
            <w:rPr>
              <w:rFonts w:asciiTheme="majorHAnsi" w:hAnsiTheme="majorHAnsi" w:cstheme="majorHAnsi"/>
              <w:b/>
              <w:bCs/>
              <w:sz w:val="20"/>
              <w:szCs w:val="28"/>
              <w:lang w:val="en-GB"/>
            </w:rPr>
          </w:pPr>
          <w:proofErr w:type="spellStart"/>
          <w:r w:rsidRPr="00730781">
            <w:rPr>
              <w:b/>
              <w:bCs/>
              <w:sz w:val="20"/>
              <w:szCs w:val="20"/>
            </w:rPr>
            <w:t>Conclusions</w:t>
          </w:r>
          <w:proofErr w:type="spellEnd"/>
          <w:r w:rsidRPr="00730781">
            <w:rPr>
              <w:b/>
              <w:bCs/>
              <w:sz w:val="20"/>
              <w:szCs w:val="20"/>
            </w:rPr>
            <w:t xml:space="preserve"> / </w:t>
          </w:r>
          <w:proofErr w:type="spellStart"/>
          <w:r w:rsidR="00FF2E5B">
            <w:rPr>
              <w:b/>
              <w:bCs/>
              <w:sz w:val="20"/>
              <w:szCs w:val="20"/>
            </w:rPr>
            <w:t>Constat</w:t>
          </w:r>
          <w:r w:rsidR="007361C9">
            <w:rPr>
              <w:b/>
              <w:bCs/>
              <w:sz w:val="20"/>
              <w:szCs w:val="20"/>
            </w:rPr>
            <w:t>ations</w:t>
          </w:r>
          <w:proofErr w:type="spellEnd"/>
        </w:p>
      </w:tc>
      <w:tc>
        <w:tcPr>
          <w:tcW w:w="1396" w:type="dxa"/>
          <w:gridSpan w:val="2"/>
          <w:tcBorders>
            <w:top w:val="nil"/>
          </w:tcBorders>
          <w:shd w:val="clear" w:color="auto" w:fill="F1A983" w:themeFill="accent2" w:themeFillTint="99"/>
          <w:vAlign w:val="center"/>
        </w:tcPr>
        <w:p w14:paraId="40D384B9" w14:textId="49A195E9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20"/>
              <w:szCs w:val="20"/>
            </w:rPr>
            <w:t>Conformité</w:t>
          </w:r>
        </w:p>
      </w:tc>
    </w:tr>
    <w:tr w:rsidR="00586603" w:rsidRPr="00AF4959" w14:paraId="3C6ED2AB" w14:textId="77777777" w:rsidTr="000B1D33">
      <w:trPr>
        <w:cantSplit/>
        <w:tblHeader/>
      </w:trPr>
      <w:tc>
        <w:tcPr>
          <w:tcW w:w="847" w:type="dxa"/>
          <w:vMerge w:val="restart"/>
          <w:shd w:val="clear" w:color="auto" w:fill="F1A983" w:themeFill="accent2" w:themeFillTint="99"/>
          <w:vAlign w:val="center"/>
        </w:tcPr>
        <w:p w14:paraId="0AAE7751" w14:textId="77777777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color w:val="FFFFFF" w:themeColor="background1"/>
              <w:sz w:val="16"/>
              <w:szCs w:val="18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16"/>
              <w:szCs w:val="18"/>
            </w:rPr>
            <w:t>Ref.</w:t>
          </w:r>
        </w:p>
      </w:tc>
      <w:tc>
        <w:tcPr>
          <w:tcW w:w="3234" w:type="dxa"/>
          <w:vMerge w:val="restart"/>
          <w:shd w:val="clear" w:color="auto" w:fill="F1A983" w:themeFill="accent2" w:themeFillTint="99"/>
          <w:vAlign w:val="center"/>
        </w:tcPr>
        <w:p w14:paraId="62241C51" w14:textId="2E6605A0" w:rsidR="00586603" w:rsidRPr="00DD33E7" w:rsidRDefault="00093D79" w:rsidP="00586603">
          <w:pPr>
            <w:rPr>
              <w:rFonts w:asciiTheme="majorHAnsi" w:hAnsiTheme="majorHAnsi" w:cstheme="majorHAnsi"/>
              <w:b/>
              <w:bCs/>
              <w:sz w:val="16"/>
              <w:szCs w:val="18"/>
              <w:lang w:val="fr-FR"/>
            </w:rPr>
          </w:pPr>
          <w:proofErr w:type="spellStart"/>
          <w:proofErr w:type="gramStart"/>
          <w:r w:rsidRPr="00093D79">
            <w:rPr>
              <w:b/>
              <w:bCs/>
              <w:sz w:val="16"/>
              <w:szCs w:val="16"/>
            </w:rPr>
            <w:t>Indicateur</w:t>
          </w:r>
          <w:proofErr w:type="spellEnd"/>
          <w:r w:rsidRPr="00093D79">
            <w:rPr>
              <w:b/>
              <w:bCs/>
              <w:sz w:val="16"/>
              <w:szCs w:val="16"/>
            </w:rPr>
            <w:t xml:space="preserve"> :</w:t>
          </w:r>
          <w:proofErr w:type="gramEnd"/>
          <w:r w:rsidRPr="00093D79">
            <w:rPr>
              <w:b/>
              <w:bCs/>
              <w:sz w:val="16"/>
              <w:szCs w:val="16"/>
            </w:rPr>
            <w:t xml:space="preserve"> I (de la norme) / </w:t>
          </w:r>
          <w:proofErr w:type="spellStart"/>
          <w:r w:rsidRPr="00093D79">
            <w:rPr>
              <w:b/>
              <w:bCs/>
              <w:sz w:val="16"/>
              <w:szCs w:val="16"/>
            </w:rPr>
            <w:t>Exigence</w:t>
          </w:r>
          <w:proofErr w:type="spellEnd"/>
          <w:r w:rsidRPr="00093D79">
            <w:rPr>
              <w:b/>
              <w:bCs/>
              <w:sz w:val="16"/>
              <w:szCs w:val="16"/>
            </w:rPr>
            <w:t xml:space="preserve"> : § (de la </w:t>
          </w:r>
          <w:proofErr w:type="spellStart"/>
          <w:r w:rsidRPr="00093D79">
            <w:rPr>
              <w:b/>
              <w:bCs/>
              <w:sz w:val="16"/>
              <w:szCs w:val="16"/>
            </w:rPr>
            <w:t>procédure</w:t>
          </w:r>
          <w:proofErr w:type="spellEnd"/>
          <w:r w:rsidRPr="00093D79">
            <w:rPr>
              <w:b/>
              <w:bCs/>
              <w:sz w:val="16"/>
              <w:szCs w:val="16"/>
            </w:rPr>
            <w:t>)</w:t>
          </w:r>
        </w:p>
      </w:tc>
      <w:tc>
        <w:tcPr>
          <w:tcW w:w="1271" w:type="dxa"/>
          <w:gridSpan w:val="3"/>
          <w:shd w:val="clear" w:color="auto" w:fill="F1A983" w:themeFill="accent2" w:themeFillTint="99"/>
          <w:vAlign w:val="center"/>
        </w:tcPr>
        <w:p w14:paraId="1E5F2A9E" w14:textId="77777777" w:rsidR="00586603" w:rsidRPr="00730781" w:rsidRDefault="00586603" w:rsidP="00586603">
          <w:pPr>
            <w:jc w:val="center"/>
            <w:rPr>
              <w:rFonts w:asciiTheme="majorHAnsi" w:hAnsiTheme="majorHAnsi" w:cstheme="majorHAnsi"/>
              <w:b/>
              <w:bCs/>
              <w:sz w:val="16"/>
              <w:szCs w:val="18"/>
              <w:lang w:val="en-GB"/>
            </w:rPr>
          </w:pPr>
          <w:r w:rsidRPr="00730781">
            <w:rPr>
              <w:b/>
              <w:bCs/>
              <w:sz w:val="16"/>
              <w:szCs w:val="16"/>
            </w:rPr>
            <w:t xml:space="preserve">Niveau de </w:t>
          </w:r>
          <w:proofErr w:type="spellStart"/>
          <w:r w:rsidRPr="00730781">
            <w:rPr>
              <w:b/>
              <w:bCs/>
              <w:sz w:val="16"/>
              <w:szCs w:val="16"/>
            </w:rPr>
            <w:t>Criticalité</w:t>
          </w:r>
          <w:proofErr w:type="spellEnd"/>
        </w:p>
      </w:tc>
      <w:tc>
        <w:tcPr>
          <w:tcW w:w="2268" w:type="dxa"/>
          <w:shd w:val="clear" w:color="auto" w:fill="F1A983" w:themeFill="accent2" w:themeFillTint="99"/>
          <w:vAlign w:val="center"/>
        </w:tcPr>
        <w:p w14:paraId="43F2A50C" w14:textId="028447B8" w:rsidR="00586603" w:rsidRPr="00730781" w:rsidRDefault="00746DE6" w:rsidP="00586603">
          <w:pPr>
            <w:jc w:val="center"/>
            <w:rPr>
              <w:rFonts w:asciiTheme="majorHAnsi" w:hAnsiTheme="majorHAnsi" w:cstheme="majorHAnsi"/>
              <w:b/>
              <w:bCs/>
              <w:sz w:val="16"/>
              <w:szCs w:val="18"/>
              <w:lang w:val="en-GB"/>
            </w:rPr>
          </w:pPr>
          <w:proofErr w:type="spellStart"/>
          <w:r>
            <w:rPr>
              <w:b/>
              <w:bCs/>
              <w:sz w:val="16"/>
              <w:szCs w:val="16"/>
            </w:rPr>
            <w:t>Vérificateur</w:t>
          </w:r>
          <w:proofErr w:type="spellEnd"/>
          <w:r>
            <w:rPr>
              <w:b/>
              <w:bCs/>
              <w:sz w:val="16"/>
              <w:szCs w:val="16"/>
            </w:rPr>
            <w:t xml:space="preserve"> </w:t>
          </w:r>
          <w:proofErr w:type="spellStart"/>
          <w:r>
            <w:rPr>
              <w:b/>
              <w:bCs/>
              <w:sz w:val="16"/>
              <w:szCs w:val="16"/>
            </w:rPr>
            <w:t>pour</w:t>
          </w:r>
          <w:proofErr w:type="spellEnd"/>
          <w:r>
            <w:rPr>
              <w:b/>
              <w:bCs/>
              <w:sz w:val="16"/>
              <w:szCs w:val="16"/>
            </w:rPr>
            <w:t xml:space="preserve"> </w:t>
          </w:r>
          <w:proofErr w:type="spellStart"/>
          <w:r>
            <w:rPr>
              <w:b/>
              <w:bCs/>
              <w:sz w:val="16"/>
              <w:szCs w:val="16"/>
            </w:rPr>
            <w:t>contrôler</w:t>
          </w:r>
          <w:proofErr w:type="spellEnd"/>
        </w:p>
      </w:tc>
      <w:tc>
        <w:tcPr>
          <w:tcW w:w="1701" w:type="dxa"/>
          <w:shd w:val="clear" w:color="auto" w:fill="F1A983" w:themeFill="accent2" w:themeFillTint="99"/>
          <w:vAlign w:val="center"/>
        </w:tcPr>
        <w:p w14:paraId="4EB2994C" w14:textId="0FD69235" w:rsidR="00586603" w:rsidRPr="00DD33E7" w:rsidRDefault="00746DE6" w:rsidP="00586603">
          <w:pPr>
            <w:jc w:val="center"/>
            <w:rPr>
              <w:rFonts w:asciiTheme="majorHAnsi" w:hAnsiTheme="majorHAnsi" w:cstheme="majorHAnsi"/>
              <w:b/>
              <w:bCs/>
              <w:sz w:val="16"/>
              <w:szCs w:val="18"/>
              <w:lang w:val="fr-FR"/>
            </w:rPr>
          </w:pPr>
          <w:proofErr w:type="spellStart"/>
          <w:r w:rsidRPr="00746DE6">
            <w:rPr>
              <w:b/>
              <w:bCs/>
              <w:sz w:val="16"/>
              <w:szCs w:val="16"/>
            </w:rPr>
            <w:t>Instructions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supplémentaires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à </w:t>
          </w:r>
          <w:proofErr w:type="spellStart"/>
          <w:r w:rsidRPr="00746DE6">
            <w:rPr>
              <w:b/>
              <w:bCs/>
              <w:sz w:val="16"/>
              <w:szCs w:val="16"/>
            </w:rPr>
            <w:t>l'intention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de </w:t>
          </w:r>
          <w:proofErr w:type="spellStart"/>
          <w:r w:rsidRPr="00746DE6">
            <w:rPr>
              <w:b/>
              <w:bCs/>
              <w:sz w:val="16"/>
              <w:szCs w:val="16"/>
            </w:rPr>
            <w:t>l'auditeur</w:t>
          </w:r>
          <w:proofErr w:type="spellEnd"/>
        </w:p>
      </w:tc>
      <w:tc>
        <w:tcPr>
          <w:tcW w:w="4876" w:type="dxa"/>
          <w:shd w:val="clear" w:color="auto" w:fill="F1A983" w:themeFill="accent2" w:themeFillTint="99"/>
        </w:tcPr>
        <w:p w14:paraId="34AFCD94" w14:textId="470914EA" w:rsidR="00586603" w:rsidRPr="00730781" w:rsidRDefault="00746DE6" w:rsidP="00586603">
          <w:pPr>
            <w:rPr>
              <w:rFonts w:asciiTheme="majorHAnsi" w:hAnsiTheme="majorHAnsi" w:cstheme="majorHAnsi"/>
              <w:b/>
              <w:bCs/>
              <w:sz w:val="16"/>
              <w:lang w:val="en-GB"/>
            </w:rPr>
          </w:pPr>
          <w:r w:rsidRPr="00746DE6">
            <w:rPr>
              <w:b/>
              <w:bCs/>
              <w:sz w:val="16"/>
              <w:szCs w:val="16"/>
            </w:rPr>
            <w:t xml:space="preserve">En </w:t>
          </w:r>
          <w:proofErr w:type="spellStart"/>
          <w:r w:rsidRPr="00746DE6">
            <w:rPr>
              <w:b/>
              <w:bCs/>
              <w:sz w:val="16"/>
              <w:szCs w:val="16"/>
            </w:rPr>
            <w:t>cas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de non-</w:t>
          </w:r>
          <w:proofErr w:type="spellStart"/>
          <w:r w:rsidRPr="00746DE6">
            <w:rPr>
              <w:b/>
              <w:bCs/>
              <w:sz w:val="16"/>
              <w:szCs w:val="16"/>
            </w:rPr>
            <w:t>conformité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, </w:t>
          </w:r>
          <w:proofErr w:type="spellStart"/>
          <w:r w:rsidRPr="00746DE6">
            <w:rPr>
              <w:b/>
              <w:bCs/>
              <w:sz w:val="16"/>
              <w:szCs w:val="16"/>
            </w:rPr>
            <w:t>indiquez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clairement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les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preuves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, </w:t>
          </w:r>
          <w:proofErr w:type="spellStart"/>
          <w:r w:rsidRPr="00746DE6">
            <w:rPr>
              <w:b/>
              <w:bCs/>
              <w:sz w:val="16"/>
              <w:szCs w:val="16"/>
            </w:rPr>
            <w:t>l'exigence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et l'échec. En </w:t>
          </w:r>
          <w:proofErr w:type="spellStart"/>
          <w:r w:rsidRPr="00746DE6">
            <w:rPr>
              <w:b/>
              <w:bCs/>
              <w:sz w:val="16"/>
              <w:szCs w:val="16"/>
            </w:rPr>
            <w:t>cas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de </w:t>
          </w:r>
          <w:proofErr w:type="spellStart"/>
          <w:r w:rsidRPr="00746DE6">
            <w:rPr>
              <w:b/>
              <w:bCs/>
              <w:sz w:val="16"/>
              <w:szCs w:val="16"/>
            </w:rPr>
            <w:t>conformité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, </w:t>
          </w:r>
          <w:proofErr w:type="spellStart"/>
          <w:r w:rsidRPr="00746DE6">
            <w:rPr>
              <w:b/>
              <w:bCs/>
              <w:sz w:val="16"/>
              <w:szCs w:val="16"/>
            </w:rPr>
            <w:t>identifiez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les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preuves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(</w:t>
          </w:r>
          <w:proofErr w:type="spellStart"/>
          <w:r w:rsidRPr="00746DE6">
            <w:rPr>
              <w:b/>
              <w:bCs/>
              <w:sz w:val="16"/>
              <w:szCs w:val="16"/>
            </w:rPr>
            <w:t>documents</w:t>
          </w:r>
          <w:proofErr w:type="spellEnd"/>
          <w:r w:rsidRPr="00746DE6">
            <w:rPr>
              <w:b/>
              <w:bCs/>
              <w:sz w:val="16"/>
              <w:szCs w:val="16"/>
            </w:rPr>
            <w:t>).</w:t>
          </w:r>
        </w:p>
      </w:tc>
      <w:tc>
        <w:tcPr>
          <w:tcW w:w="737" w:type="dxa"/>
          <w:shd w:val="clear" w:color="auto" w:fill="F1A983" w:themeFill="accent2" w:themeFillTint="99"/>
          <w:vAlign w:val="center"/>
        </w:tcPr>
        <w:p w14:paraId="576E7FDB" w14:textId="35B3BD31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sz w:val="16"/>
              <w:szCs w:val="18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16"/>
              <w:szCs w:val="18"/>
            </w:rPr>
            <w:t>Non</w:t>
          </w:r>
        </w:p>
      </w:tc>
      <w:tc>
        <w:tcPr>
          <w:tcW w:w="659" w:type="dxa"/>
          <w:shd w:val="clear" w:color="auto" w:fill="F1A983" w:themeFill="accent2" w:themeFillTint="99"/>
          <w:vAlign w:val="center"/>
        </w:tcPr>
        <w:p w14:paraId="452BCD46" w14:textId="6D993258" w:rsidR="00586603" w:rsidRPr="00AF4959" w:rsidRDefault="00746DE6" w:rsidP="00586603">
          <w:pPr>
            <w:jc w:val="center"/>
            <w:rPr>
              <w:rFonts w:asciiTheme="majorHAnsi" w:hAnsiTheme="majorHAnsi" w:cstheme="majorHAnsi"/>
              <w:b/>
              <w:sz w:val="16"/>
              <w:szCs w:val="18"/>
              <w:lang w:val="en-GB"/>
            </w:rPr>
          </w:pPr>
          <w:r>
            <w:rPr>
              <w:rFonts w:asciiTheme="majorHAnsi" w:hAnsiTheme="majorHAnsi" w:cstheme="majorHAnsi"/>
              <w:b/>
              <w:sz w:val="16"/>
              <w:szCs w:val="18"/>
            </w:rPr>
            <w:t>Oui ou NA</w:t>
          </w:r>
        </w:p>
      </w:tc>
    </w:tr>
    <w:tr w:rsidR="00586603" w:rsidRPr="00093D79" w14:paraId="42EE152B" w14:textId="77777777" w:rsidTr="000B1D33">
      <w:trPr>
        <w:trHeight w:val="204"/>
        <w:tblHeader/>
      </w:trPr>
      <w:tc>
        <w:tcPr>
          <w:tcW w:w="847" w:type="dxa"/>
          <w:vMerge/>
          <w:shd w:val="clear" w:color="auto" w:fill="F1A983" w:themeFill="accent2" w:themeFillTint="99"/>
        </w:tcPr>
        <w:p w14:paraId="0294B49B" w14:textId="77777777" w:rsidR="00586603" w:rsidRPr="00AF4959" w:rsidRDefault="00586603" w:rsidP="00586603">
          <w:pPr>
            <w:rPr>
              <w:rFonts w:asciiTheme="majorHAnsi" w:hAnsiTheme="majorHAnsi" w:cstheme="majorHAnsi"/>
              <w:color w:val="FFFFFF" w:themeColor="background1"/>
              <w:sz w:val="18"/>
              <w:szCs w:val="18"/>
              <w:lang w:val="en-GB"/>
            </w:rPr>
          </w:pPr>
        </w:p>
      </w:tc>
      <w:tc>
        <w:tcPr>
          <w:tcW w:w="3234" w:type="dxa"/>
          <w:vMerge/>
          <w:shd w:val="clear" w:color="auto" w:fill="F1A983" w:themeFill="accent2" w:themeFillTint="99"/>
        </w:tcPr>
        <w:p w14:paraId="1DE1408E" w14:textId="77777777" w:rsidR="00586603" w:rsidRPr="00AF4959" w:rsidRDefault="00586603" w:rsidP="00586603">
          <w:pPr>
            <w:rPr>
              <w:rFonts w:asciiTheme="majorHAnsi" w:hAnsiTheme="majorHAnsi" w:cstheme="majorHAnsi"/>
              <w:sz w:val="18"/>
              <w:szCs w:val="18"/>
              <w:lang w:val="en-GB"/>
            </w:rPr>
          </w:pPr>
        </w:p>
      </w:tc>
      <w:tc>
        <w:tcPr>
          <w:tcW w:w="423" w:type="dxa"/>
          <w:shd w:val="clear" w:color="auto" w:fill="F1A983" w:themeFill="accent2" w:themeFillTint="99"/>
          <w:vAlign w:val="center"/>
        </w:tcPr>
        <w:p w14:paraId="65763B70" w14:textId="77777777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sz w:val="18"/>
              <w:szCs w:val="18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18"/>
              <w:szCs w:val="18"/>
            </w:rPr>
            <w:t>C</w:t>
          </w:r>
        </w:p>
      </w:tc>
      <w:tc>
        <w:tcPr>
          <w:tcW w:w="423" w:type="dxa"/>
          <w:shd w:val="clear" w:color="auto" w:fill="F1A983" w:themeFill="accent2" w:themeFillTint="99"/>
          <w:vAlign w:val="center"/>
        </w:tcPr>
        <w:p w14:paraId="03D31CD8" w14:textId="77777777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sz w:val="18"/>
              <w:szCs w:val="18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18"/>
              <w:szCs w:val="18"/>
            </w:rPr>
            <w:t>M</w:t>
          </w:r>
        </w:p>
      </w:tc>
      <w:tc>
        <w:tcPr>
          <w:tcW w:w="425" w:type="dxa"/>
          <w:shd w:val="clear" w:color="auto" w:fill="F1A983" w:themeFill="accent2" w:themeFillTint="99"/>
          <w:vAlign w:val="center"/>
        </w:tcPr>
        <w:p w14:paraId="55064630" w14:textId="77777777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sz w:val="18"/>
              <w:szCs w:val="18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18"/>
              <w:szCs w:val="18"/>
            </w:rPr>
            <w:t>m</w:t>
          </w:r>
        </w:p>
      </w:tc>
      <w:tc>
        <w:tcPr>
          <w:tcW w:w="2268" w:type="dxa"/>
          <w:shd w:val="clear" w:color="auto" w:fill="F1A983" w:themeFill="accent2" w:themeFillTint="99"/>
        </w:tcPr>
        <w:p w14:paraId="6CBF705C" w14:textId="77777777" w:rsidR="00586603" w:rsidRPr="00AF4959" w:rsidRDefault="00586603" w:rsidP="00586603">
          <w:pPr>
            <w:rPr>
              <w:rFonts w:asciiTheme="majorHAnsi" w:hAnsiTheme="majorHAnsi" w:cstheme="majorHAnsi"/>
              <w:lang w:val="en-GB"/>
            </w:rPr>
          </w:pPr>
        </w:p>
      </w:tc>
      <w:tc>
        <w:tcPr>
          <w:tcW w:w="1701" w:type="dxa"/>
          <w:shd w:val="clear" w:color="auto" w:fill="F1A983" w:themeFill="accent2" w:themeFillTint="99"/>
        </w:tcPr>
        <w:p w14:paraId="074659DC" w14:textId="77777777" w:rsidR="00586603" w:rsidRPr="00AF4959" w:rsidRDefault="00586603" w:rsidP="00586603">
          <w:pPr>
            <w:rPr>
              <w:rFonts w:asciiTheme="majorHAnsi" w:hAnsiTheme="majorHAnsi" w:cstheme="majorHAnsi"/>
              <w:lang w:val="en-GB"/>
            </w:rPr>
          </w:pPr>
        </w:p>
      </w:tc>
      <w:tc>
        <w:tcPr>
          <w:tcW w:w="4876" w:type="dxa"/>
          <w:shd w:val="clear" w:color="auto" w:fill="F1A983" w:themeFill="accent2" w:themeFillTint="99"/>
        </w:tcPr>
        <w:p w14:paraId="30F1F7B5" w14:textId="77777777" w:rsidR="00586603" w:rsidRPr="00CD2FD0" w:rsidRDefault="00586603" w:rsidP="00586603">
          <w:pPr>
            <w:jc w:val="center"/>
            <w:rPr>
              <w:rFonts w:asciiTheme="majorHAnsi" w:hAnsiTheme="majorHAnsi" w:cstheme="majorHAnsi"/>
              <w:b/>
              <w:color w:val="E97132" w:themeColor="accent2"/>
              <w:sz w:val="4"/>
              <w:szCs w:val="4"/>
              <w:lang w:val="fr-FR"/>
            </w:rPr>
          </w:pPr>
        </w:p>
        <w:p w14:paraId="4DB8A9BA" w14:textId="2C8A5FB3" w:rsidR="00586603" w:rsidRPr="00DD33E7" w:rsidRDefault="00093D79" w:rsidP="00586603">
          <w:pPr>
            <w:jc w:val="center"/>
            <w:rPr>
              <w:rFonts w:asciiTheme="majorHAnsi" w:hAnsiTheme="majorHAnsi" w:cstheme="majorHAnsi"/>
              <w:b/>
              <w:bCs/>
              <w:color w:val="E97132" w:themeColor="accent2"/>
              <w:sz w:val="16"/>
              <w:szCs w:val="16"/>
              <w:lang w:val="fr-FR"/>
            </w:rPr>
          </w:pPr>
          <w:r w:rsidRPr="000B1D33">
            <w:rPr>
              <w:rFonts w:asciiTheme="majorHAnsi" w:hAnsiTheme="majorHAnsi" w:cstheme="majorHAnsi"/>
              <w:b/>
              <w:bCs/>
              <w:color w:val="00B0F0"/>
              <w:sz w:val="16"/>
              <w:szCs w:val="16"/>
            </w:rPr>
            <w:t>LES PREUVES VUES (OU MANQUANTES) DOIVENT ÊTRE DÉCRITES.</w:t>
          </w:r>
        </w:p>
      </w:tc>
      <w:tc>
        <w:tcPr>
          <w:tcW w:w="737" w:type="dxa"/>
          <w:shd w:val="clear" w:color="auto" w:fill="F1A983" w:themeFill="accent2" w:themeFillTint="99"/>
        </w:tcPr>
        <w:p w14:paraId="40542FA5" w14:textId="77777777" w:rsidR="00586603" w:rsidRPr="00DD33E7" w:rsidRDefault="00586603" w:rsidP="00586603">
          <w:pPr>
            <w:rPr>
              <w:rFonts w:asciiTheme="majorHAnsi" w:hAnsiTheme="majorHAnsi" w:cstheme="majorHAnsi"/>
              <w:lang w:val="fr-FR"/>
            </w:rPr>
          </w:pPr>
        </w:p>
      </w:tc>
      <w:tc>
        <w:tcPr>
          <w:tcW w:w="659" w:type="dxa"/>
          <w:shd w:val="clear" w:color="auto" w:fill="F1A983" w:themeFill="accent2" w:themeFillTint="99"/>
        </w:tcPr>
        <w:p w14:paraId="78B49611" w14:textId="77777777" w:rsidR="00586603" w:rsidRPr="00DD33E7" w:rsidRDefault="00586603" w:rsidP="00586603">
          <w:pPr>
            <w:rPr>
              <w:rFonts w:asciiTheme="majorHAnsi" w:hAnsiTheme="majorHAnsi" w:cstheme="majorHAnsi"/>
              <w:lang w:val="fr-FR"/>
            </w:rPr>
          </w:pPr>
        </w:p>
      </w:tc>
    </w:tr>
  </w:tbl>
  <w:p w14:paraId="42AEEA5D" w14:textId="77777777" w:rsidR="00586603" w:rsidRPr="00DD33E7" w:rsidRDefault="00586603" w:rsidP="00586603">
    <w:pPr>
      <w:pStyle w:val="En-tte"/>
      <w:rPr>
        <w:rFonts w:asciiTheme="majorHAnsi" w:hAnsiTheme="majorHAnsi" w:cstheme="majorHAnsi"/>
        <w:sz w:val="2"/>
      </w:rPr>
    </w:pPr>
  </w:p>
  <w:p w14:paraId="1E309D5A" w14:textId="77777777" w:rsidR="00586603" w:rsidRPr="00DD33E7" w:rsidRDefault="005866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162E"/>
    <w:multiLevelType w:val="hybridMultilevel"/>
    <w:tmpl w:val="F86286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42E0"/>
    <w:multiLevelType w:val="hybridMultilevel"/>
    <w:tmpl w:val="B8DEA4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2C64"/>
    <w:multiLevelType w:val="hybridMultilevel"/>
    <w:tmpl w:val="5422FE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D62E6"/>
    <w:multiLevelType w:val="hybridMultilevel"/>
    <w:tmpl w:val="D4788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9194">
    <w:abstractNumId w:val="0"/>
  </w:num>
  <w:num w:numId="2" w16cid:durableId="1555433613">
    <w:abstractNumId w:val="2"/>
  </w:num>
  <w:num w:numId="3" w16cid:durableId="29694252">
    <w:abstractNumId w:val="3"/>
  </w:num>
  <w:num w:numId="4" w16cid:durableId="152019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B5"/>
    <w:rsid w:val="000003B5"/>
    <w:rsid w:val="00093D79"/>
    <w:rsid w:val="000B1D33"/>
    <w:rsid w:val="000E16F2"/>
    <w:rsid w:val="003D108E"/>
    <w:rsid w:val="00411E0A"/>
    <w:rsid w:val="004D13A1"/>
    <w:rsid w:val="004E229C"/>
    <w:rsid w:val="00551CB2"/>
    <w:rsid w:val="00586603"/>
    <w:rsid w:val="005D3ED0"/>
    <w:rsid w:val="00652A48"/>
    <w:rsid w:val="007361C9"/>
    <w:rsid w:val="00746DE6"/>
    <w:rsid w:val="00754F7F"/>
    <w:rsid w:val="00875B9C"/>
    <w:rsid w:val="00900C09"/>
    <w:rsid w:val="00A13F9A"/>
    <w:rsid w:val="00B31A6E"/>
    <w:rsid w:val="00B7112D"/>
    <w:rsid w:val="00CF03D7"/>
    <w:rsid w:val="00CF434F"/>
    <w:rsid w:val="00D64CC2"/>
    <w:rsid w:val="00DB4729"/>
    <w:rsid w:val="00DD33E7"/>
    <w:rsid w:val="00EE46C6"/>
    <w:rsid w:val="00F4300A"/>
    <w:rsid w:val="00F80D81"/>
    <w:rsid w:val="00FA5207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02EA"/>
  <w15:chartTrackingRefBased/>
  <w15:docId w15:val="{C5D51D74-95EC-495B-8749-C49FFA7C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B5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0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0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0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0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0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0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03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03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03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03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03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03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03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03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03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0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03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03B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0003B5"/>
    <w:pPr>
      <w:spacing w:after="0" w:line="240" w:lineRule="auto"/>
    </w:pPr>
    <w:rPr>
      <w:rFonts w:eastAsiaTheme="minorEastAsia"/>
      <w:kern w:val="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0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3B5"/>
    <w:rPr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nhideWhenUsed/>
    <w:rsid w:val="005D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D3ED0"/>
    <w:rPr>
      <w:kern w:val="0"/>
      <w:sz w:val="22"/>
      <w:szCs w:val="22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DD33E7"/>
    <w:rPr>
      <w:color w:val="666666"/>
    </w:rPr>
  </w:style>
  <w:style w:type="paragraph" w:customStyle="1" w:styleId="Default">
    <w:name w:val="Default"/>
    <w:rsid w:val="00EE4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normaltextrun">
    <w:name w:val="normaltextrun"/>
    <w:basedOn w:val="Policepardfaut"/>
    <w:rsid w:val="00EE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1a71b-b90d-4c6b-be3b-60e98b61fde7" xsi:nil="true"/>
    <lcf76f155ced4ddcb4097134ff3c332f xmlns="86c84ead-a0fe-42c4-9241-7dc7b16771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BC3561AE5F545AA7AA27756A87010" ma:contentTypeVersion="13" ma:contentTypeDescription="Crée un document." ma:contentTypeScope="" ma:versionID="75be5d4c3bfd4e4d90ef7296d8d585a2">
  <xsd:schema xmlns:xsd="http://www.w3.org/2001/XMLSchema" xmlns:xs="http://www.w3.org/2001/XMLSchema" xmlns:p="http://schemas.microsoft.com/office/2006/metadata/properties" xmlns:ns2="86c84ead-a0fe-42c4-9241-7dc7b16771f5" xmlns:ns3="4091a71b-b90d-4c6b-be3b-60e98b61fde7" targetNamespace="http://schemas.microsoft.com/office/2006/metadata/properties" ma:root="true" ma:fieldsID="7d14ec68c11154d6db6abcb41b1a76ba" ns2:_="" ns3:_="">
    <xsd:import namespace="86c84ead-a0fe-42c4-9241-7dc7b16771f5"/>
    <xsd:import namespace="4091a71b-b90d-4c6b-be3b-60e98b61fde7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4ead-a0fe-42c4-9241-7dc7b16771f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6ae7b1c-74c9-4ab9-ad73-d57d17717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a71b-b90d-4c6b-be3b-60e98b61f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41e526-7d80-4d85-b0ab-0548ca7fef58}" ma:internalName="TaxCatchAll" ma:showField="CatchAllData" ma:web="4091a71b-b90d-4c6b-be3b-60e98b61f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6E44A-B618-47F1-8CA8-0C0146E0B063}">
  <ds:schemaRefs>
    <ds:schemaRef ds:uri="http://schemas.microsoft.com/office/2006/metadata/properties"/>
    <ds:schemaRef ds:uri="http://schemas.microsoft.com/office/infopath/2007/PartnerControls"/>
    <ds:schemaRef ds:uri="4091a71b-b90d-4c6b-be3b-60e98b61fde7"/>
    <ds:schemaRef ds:uri="86c84ead-a0fe-42c4-9241-7dc7b16771f5"/>
  </ds:schemaRefs>
</ds:datastoreItem>
</file>

<file path=customXml/itemProps2.xml><?xml version="1.0" encoding="utf-8"?>
<ds:datastoreItem xmlns:ds="http://schemas.openxmlformats.org/officeDocument/2006/customXml" ds:itemID="{9EA4200C-B342-4F12-B366-1C3B9DD05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FB212-F4B8-4CA8-BD2E-B1F725BF7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84ead-a0fe-42c4-9241-7dc7b16771f5"/>
    <ds:schemaRef ds:uri="4091a71b-b90d-4c6b-be3b-60e98b61f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1594</Words>
  <Characters>8769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Davila</dc:creator>
  <cp:keywords/>
  <dc:description/>
  <cp:lastModifiedBy>Lucie Davila</cp:lastModifiedBy>
  <cp:revision>14</cp:revision>
  <dcterms:created xsi:type="dcterms:W3CDTF">2024-12-17T17:07:00Z</dcterms:created>
  <dcterms:modified xsi:type="dcterms:W3CDTF">2024-12-19T16:05:00Z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0x010100295BC3561AE5F545AA7AA27756A87010</vt:lpwstr>
  </property>
  <property fmtid="{D5CDD505-2E9C-101B-9397-08002B2CF9AE}" pid="3" name="MediaServiceImageTags">
    <vt:lpwstr/>
  </property>
</Properties>
</file>